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ZD16.040298 vom 13. November 2017</w:t>
      </w:r>
    </w:p>
    <w:p>
      <w:r>
        <w:t>VD Tribunal cantonal, 2017-11-13, FR</w:t>
      </w:r>
    </w:p>
    <w:p>
      <w:r>
        <w:rPr>
          <w:b/>
        </w:rPr>
        <w:t xml:space="preserve">Quelle: </w:t>
      </w:r>
      <w:r>
        <w:t>https://mcp.opencaselaw.ch/entscheid/vd_gerichte_ZD16.040298</w:t>
      </w:r>
    </w:p>
    <w:p>
      <w:r>
        <w:t>FR: VD_GERICHTE ZD16.040298 du 13 novembre 2017</w:t>
      </w:r>
    </w:p>
    <w:p>
      <w:r>
        <w:t>IT: VD_GERICHTE ZD16.040298 del 13 novembre 2017</w:t>
      </w:r>
    </w:p>
    <w:p>
      <w:pPr>
        <w:pStyle w:val="Heading2"/>
      </w:pPr>
      <w:r>
        <w:t>Erwägungen</w:t>
      </w:r>
    </w:p>
    <w:p>
      <w:r>
        <w:rPr>
          <w:b/>
        </w:rPr>
        <w:t>E. 20</w:t>
      </w:r>
    </w:p>
    <w:p>
      <w:r>
        <w:t>% entre avril 2013 et septembre 2015.</w:t>
      </w:r>
    </w:p>
    <w:p>
      <w:r>
        <w:t>- 20 - Si l’avis du Pr D.________ devait être suivi, il devrait être admis que la recourante présente une incapacité de travail totale depuis mars- avril 2013. Seule une expertise permettrait de trancher la divergence relative à l’appréciation de la capacité de travail de la recourante entre avril 2013 et septembre 2015. Or, il est fort probable que l’avis du nouvel expert ne serait pas connu avant l’âge légal de la retraite de la recourante. Ainsi, quel que soit le résultat de ce complément d’instruction, notamment même s’il confirmait l’appréciation des experts de H.________ telle que pondérée par le SMR, il ne pourrait plus être demandé à l’assurée de rechercher une activité professionnelle compatible avec ses limitations fonctionnelles et la diminution de rendement. En effet, le moment décisif permettant de constater l’exigibilité ne pourrait se présenter au plus tôt que lors de la reddition du rapport du nouvel expert (cf. ATF 138 V 457 cité). Au demeurant, s’il était renoncé à une telle expertise, le moment décisif permettant de constater l’exigibilité coïnciderait avec le dépôt du rapport d’expertise de H.________, soit le 5 juillet 2015. Or, à cette date-là, la recourante se trouvait déjà dans la tranche d’âge qualifié d’avancé par le Tribunal fédéral. Par ailleurs, la polyarthrite rhumatoïde a ceci de spécifique qu’elle évolue par poussées, avec pour corollaire la survenance d’incapacités de travail répétées en cours d’emploi. Une telle atteinte pourrait être rédhibitoire aux yeux d’un employeur potentiel, étant donné la probabilité de devoir couvrir un risque accru de maladie, avec des répercussions économiques négatives. Un employeur potentiel entrerait d’autant moins en matière sur la candidature d’une personne atteinte de polyarthrite rhumatoïde lorsque, comme en l’occurrence, elle émanerait d’une personne proche de l’âge légal de la retraite et par conséquent soumise au taux de cotisation maximum en matière de prévoyance professionnelle.</w:t>
      </w:r>
    </w:p>
    <w:p>
      <w:r>
        <w:t>- 21 - En conséquence, il doit être admis que pour la période encore litigieuse, soit celle courant d’avril 2013 au 14 septembre 2015, la recourante présente une incapacité de travail totale et continue. En retenant une incapacité de travail entière ayant débuté à tout le moins le 30 mai 2012, les conditions du droit à la rente étaient réalisées dès le 31 mai 2013 au plus tard (article 28 al. 1 LAI). La recourante a déposé sa demande de prestations le 29 avril 2013. Compte tenu du délai de carence de 6 mois imposé par l’article 29 al.1 LAI, le droit à la rente a pris naissance le 30 octobre 2013, de telle sorte que la recourante a droit à une rente entière dès le 1er octobre 2013 (article 29 al. 3 LAI). 5. a) En définitive, le recours doit être admis et la décision de l'OAI du 10 août 2016 réformée en ce sens que la recourante a droit à une rente entière d'invalidité dès le 1er octobre 2013. b) Le dossier est complet, permettant ainsi à la Cour de statuer en pleine connaissance de cause. Un complément d’instruction s’avère inutile et la requête de tenue de débats formulée par la recourante peut être rejetée au vu de la jurisprudence (TF 8C_723/2016 consid. 2.3). 6. a)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b) La recourante, qui obtient gain de cause avec l'assistance d'un mandataire professionnel, a droit à des dépens (art. 61 let. g LPGA et 55 LPA-VD), qu'il convient d'arrêter à 4'000 fr., compte tenu de la difficulté et de l’ampleur de la procédure. Ce montant est mis à la charge de l'OAI, qui succombe.</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