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ZD16.039571 vom 15. Februar 2018</w:t>
      </w:r>
    </w:p>
    <w:p>
      <w:r>
        <w:t>VD Tribunal cantonal, 2018-02-15, FR</w:t>
      </w:r>
    </w:p>
    <w:p>
      <w:r>
        <w:rPr>
          <w:b/>
        </w:rPr>
        <w:t xml:space="preserve">Quelle: </w:t>
      </w:r>
      <w:r>
        <w:t>https://mcp.opencaselaw.ch/entscheid/vd_gerichte_ZD16.039571</w:t>
      </w:r>
    </w:p>
    <w:p>
      <w:r>
        <w:t>FR: VD_GERICHTE ZD16.039571 du 15 février 2018</w:t>
      </w:r>
    </w:p>
    <w:p>
      <w:r>
        <w:t>IT: VD_GERICHTE ZD16.039571 del 15 febbraio 2018</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w:t>
      </w:r>
    </w:p>
    <w:p>
      <w:r>
        <w:t>- 18 -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Un rapport médical qui émane d'un service médical régional au sens de l'art. 59 al. 2bis LAI, a valeur probante s'il remplit les exigences requises par la jurisprudence sur le contenu des rapports médicaux rappelées ci-dessus (TF 9C_600/2010 du 21 janvier 2011 consid. 2 ; TFA I 573/04 du 10 novembre 2005 consid. 5.2 ; I 523/02 du 28 octobre 2002 consid. 3). Les avis médicaux du SMR ont pour fonction d'opérer la</w:t>
      </w:r>
    </w:p>
    <w:p>
      <w:r>
        <w:t>- 19 - synthèse des renseignements médicaux versés au dossier et de prodiguer des recommandations quant à la suite à donner au dossier sur le plan médical. En tant qu'il ne contient aucune observation clinique, il se distingue d'une expertise médicale (cf. art. 44 LPGA) ou d'un examen médical auquel il arrive au SMR de procéder (cf.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 3b/cc et les références ; VSI 2001 p. 106 cons. 3b/bb et cc).</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w:t>
      </w:r>
    </w:p>
    <w:p>
      <w:r>
        <w:t>- 20 -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w:t>
      </w:r>
    </w:p>
    <w:p>
      <w:r>
        <w:rPr>
          <w:b/>
        </w:rPr>
        <w:t>E. 6</w:t>
      </w:r>
    </w:p>
    <w:p>
      <w:r>
        <w:t>En l’espèce, l’intimé est entré en matière sur la demande de révision présentée par la recourante le 4 juillet 2014, rejetant celle-ci après avoir recueilli les avis des différents médecins concernés. Il y a donc lieu d’examiner si la modification du degré d'invalidité rendue plausible par l’intéressée est réellement intervenue en comparant les faits tels qu’ils se présentaient au moment de la dernière décision entrée en force et reposant sur un examen matériel du droit à la rente, soit la décision du 11 avril 2012, et les circonstances régnant à l’époque de la décision du 4 juillet 2016, objet du présent recours, et justifie ou non une augmentation de la rente octroyée par décision du 11 avril 2012. a) La recourante se prévaut d’une péjoration de son état de santé sur le plan psychique, précisant qu’elle ne prétend pas que les atteintes somatiques justifieraient une augmentation de sa rente. Elle fait toutefois valoir lors de sa dernière écriture l’apparition de vertiges et de troubles de l’équilibre. Il est constant que les atteintes somatiques de la recourante, soit les troubles pulmonaires ainsi que les cervicalgies qu’elle présente ensuite d’un accident de la circulation en 1998 ne se sont pas aggravés entre la dernière décision de l’intimé entrée en force et la décision attaquée. Aucun rapport médical au dossier ne fait état d’une atteinte qui réduirait la capacité de travail de la recourante de plus de 50 % (cf. notamment rapport de la Dresse X.________ du 9 novembre 2014 concernant l’asthme). La Dresse M.________ évoque certes à quelques reprises une dégradation des troubles somatiques, mais ne donne aucune</w:t>
      </w:r>
    </w:p>
    <w:p>
      <w:r>
        <w:t>- 21 - précision, en particulier sur les effets sur la capacité de travail, qu’elle n’a du reste pas investigués. Les vertiges et troubles de l’équilibre allégués par la recourante et le certificat médical de la Dresse N.________ ne peuvent être pris en compte dans le présent arrêt. En effet, le juge apprécie en règle générale la légalité des décisions entreprises d'après l'état de fait existant au moment où la décision litigieuse a été rendue (cf. supra consid. 2b). Un avis médical, même rendu postérieurement à une décision, doit être pris en compte s'il permet d'apprécier les circonstances au moment où celle-ci a été prononcée (ATF 99 V 98 consid. 4 ; TF 9C_105/2008 du 23 juin 2008 consid. 2.2). Or en l’espèce, outre le fait que la Dresse N.________ n’atteste aucune incapacité de travail en lien avec les diagnostics qu’elle retient, elle observe que les troubles évoqués par la recourante ont évolué défavorablement, selon ses dires, depuis le début de l’année 2017, soit postérieurement à la décision litigieuse. Il n’y a pas d’élément dans ce rapport qui permette d’apprécier les circonstances au moment où la décision litigieuse a été rendue, de sorte qu’il doit être écarté. En cas d’aggravation de son état de santé postérieure à la décision attaquée, il appartient à la recourante de déposer une nouvelle demande de prestations. b) Au vu de ce qui précède, c’est effectivement sous l’angle de la problématique psychique qu’il convient d’examiner si une aggravation de l’état de santé de la recourante est effectivement intervenue. Lorsque la décision du 11 avril 2012 a été rendue, il a été reconnu que la recourante souffrait d’un état dépressif majeur récurrent de gravité moyenne (cf. rapport du Dr F.________ du 6 mai 2010). La recourante était, selon le SMR, limitée par une humeur dépressive, des troubles de la concentration, de la mémoire et du sommeil (cf. rapport du SMR du 14 juin 2011). Lors de sa demande de révision, la recourante a annoncé une aggravation de son état dépressif, se manifestant par de la fatigue, un</w:t>
      </w:r>
    </w:p>
    <w:p>
      <w:r>
        <w:t>- 22 - manque de concentration et des pertes de mémoire, soit des éléments qui avaient déjà été pris en compte lors de la précédente évaluation de son état de santé. La recourante se prévaut essentiellement des rapports établis par la Dresse M.________. Il est en premier lieu relevé que cette médecin ne bénéficie pas de la spécialisation en psychiatrie et psychothérapie reconnue en Suisse. Ses rapports ne contiennent pas de status clinique et elle ne motive aucunement pour quelles raisons elle retient une aggravation de l’atteinte à la santé de sa patiente. Elle se contente, à maintes reprises, d’annoncer que l’état de la recourante s’est aggravé et qu’elle souffre de troubles de la concentration, de la mémoire et d’une importante fatigue. Elle évoque également un trouble anxieux et des crises de panique, sans autres détails sur la façon dont ils se manifestent, sur la fréquence des crises de panique, ou sur des résultats de tests cliniques, malgré plusieurs interpellations. Le diagnostic qu’elle retient, sans l’étayer, est celui de trouble dépressif récurrent. Contrairement à ce que soutient la recourante, ce diagnostic n’est pas différent de celui retenu à l’époque de la première décision, puisqu’il s’agissait d’état dépressif majeur récurrent, de gravité moyenne. Les mêmes remarques peuvent être faites concernant le rapport du 23 octobre 2014 du Dr H.________, qui n’est pas non plus spécialiste en psychiatrie et psychothérapie. Celui-ci se contente d’évoquer une « dépression larvée » entraînant une fatigabilité extrême, une somnolence diurne et la nécessité de se reposer. Il n’explique pas en quoi ces symptômes, qui existaient déjà en 2012, entraîneraient une incapacité de travail supérieure à celle retenue auparavant et a lui-même admis que les limitations fonctionnelles étaient à définir et à évaluer. Concernant les troubles de la mémoire, qui sont selon la Dresse M.________ en partie à l’origine de l’aggravation de l’état de santé de sa patiente, contrairement à ce que soutient la recourante dans sa réplique, le Dr V.________ a relevé des résultats de tests normaux. Le rapport de la Clinique R.________, établi à la suite d’une hospitalisation volontaire, reconnaît un pronostic favorable et une</w:t>
      </w:r>
    </w:p>
    <w:p>
      <w:r>
        <w:t>- 23 - amélioration des troubles de la mémoire et de la concentration. Bien qu’il soit fait mention d’une capacité de travail limitée, les médecins de cette clinique ne donnent pas de précisions sur les taux d’incapacité et les périodes, et reconnaissent l’existence d’une capacité de travail avec notamment un soutien du psychiatre traitant. La décision d’inaptitude au placement rendue par le SDE n’est d’aucun secours à la recourante. En effet, les notions d’invalidité et d’inaptitude au placement ne sont pas identiques dans les deux assurances en question. En vertu de l’art. 15 al. 1 LACI (loi fédérale du 25 juin 1982 sur l'assurance-chômage obligatoire et l'indemnité en cas d'insolvabilité ; RS 837.0), est réputé apte à être placé le chômeur qui est disposé à accepter un travail convenable et à participer à des mesures d'intégration et qui est en mesure et en droit de le faire. L'aptitude au placement comprend ainsi non seulement la capacité de travailler, mais encore la volonté d'accepter un travail convenable. Un assuré peut dès lors être inapte au placement au sens de la législation sur l'assurance- chômage même si son incapacité de travail est trop faible pour déclencher un droit à l'obtention d'une rente d'invalidité (TF 9C_131/2010 du 6 octobre 2010 consid. 6 ; 9C_228/2007 du 24 septembre 2007 consid. 3 ; TFA C 282/05 du 3 mars 2006). En l’espèce, le SDE s’est fondé d’une part sur les certificats médicaux de la Dresse M.________, qui ne sont, comme il a été démontré ci-dessus, pas assez probants pour retenir une incapacité de travail supérieure à 50 %, mais également sur les déclarations de la recourante elle-même, qui a expliqué ne pas souhaiter rechercher un travail. C’est ainsi notamment le fait que la recourante n’était pas disposée à trouver un travail qui a conduit le SDE à nier l’aptitude au placement de la recourante. Les moyens déterminants permettant à l’assurance-chômage de déclarer une personne inapte au placement n’étant pas les mêmes que les moyens permettant de retenir une incapacité de travail au sens de l’assurance-invalidité, la décision du SDE ne permet pas de retenir en l’espèce que la recourante présente une incapacité de travail au sens de l’assurance-invalidité, ce d’autant que la décision du SDE ne démontre pas médicalement une telle incapacité.</w:t>
      </w:r>
    </w:p>
    <w:p>
      <w:r>
        <w:t>- 24 - Au vu de ce qui précède, c’est à raison que le SMR a retenu que l’état de santé de la recourante était resté stationnaire. Il importe peu que le Dr T.________ n’ait pas lui-même vu la recourante, dès lors que les avis médicaux du SMR ont pour fonction d'opérer la synthèse des renseignements médicaux versés au dossier et de prodiguer des recommandations quant à la suite à donner au dossier sur le plan médical, mais ne contiennent par définition pas d’observations cliniques (cf. supra consid. 4). Comme exposé supra, on ne saurait toutefois leur dénier toute valeur probante, dès lors qu'ils contiennent des informations utiles à la prise de décision pour l'administration ou les tribunaux, sous forme d'un résumé de la situation médicale et d'une appréciation de celle-ci. En l’espèce, aucun document médical au dossier ne permettait de fonder un doute justifiant un examen clinique au SMR ou une expertise externe et l’intimé pouvait ainsi rendre une décision sur la base des appréciations du Dr T.________, qui s’est renseigné à satisfaction de droit auprès des différents intervenants médicaux. Les rapports médicaux établis entre la décision du 11 avril 2012 et la décision litigieuse ne démontrant aucunement l’existence d’une nouvelle atteinte invalidante à l’état de santé de la recourante, ni l’aggravation des atteintes déjà existantes, c’est à bon droit que l’intimé a considéré que l’état de santé de la recourante ne s’était pas modifié depuis la décision du 11 avril 2012 dans une mesure propre à justifier l’augmentation de la rente. c) Le dossier étant complet, permettant ainsi à la Cour de statuer en pleine connaissance de cause, il n'y a pas lieu d'ordonner un complément d'instruction (appréciation anticipée des preuves, cf. ATF 140 I 285 consid. 6.3.1 ; 134 I 140 consid. 5.2). La requête de la recourante en ce sens soulevée subsidiairement dans son recours, qu’elle n’a du reste pas confirmée par la suite, doit dès lors être rejetée.</w:t>
      </w:r>
    </w:p>
    <w:p>
      <w:r>
        <w:rPr>
          <w:b/>
        </w:rPr>
        <w:t>E. 7</w:t>
      </w:r>
    </w:p>
    <w:p>
      <w:r>
        <w:t>a) Il résulte de ce qui précède que le recours, mal fondé, doit être rejeté et la décision attaquée confirmée.</w:t>
      </w:r>
    </w:p>
    <w:p>
      <w:r>
        <w:t>- 25 - b) En dérogation à l'art. 61 let. a LPGA, la procédure de recours en matière de contestations portant sur l'octroi ou le refus de prestations de l'assurance-invalidité devant le tribunal cantonal des assurances est soumise à des frais de justice (cf. art. 69 al. 1bis LAI). En l'occurrence, vu l'ampleur de la procédure, les frais sont fixés à 400 fr. et mis à la charge de la recourante qui succombe (cf. art. 49 al. 1 LPA-VD). La recourante, qui n'obtient pas gain de cause, n'a pas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