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ZD16.039355 vom 24. April 2017</w:t>
      </w:r>
    </w:p>
    <w:p>
      <w:r>
        <w:t>VD Tribunal cantonal, 2017-04-24, FR</w:t>
      </w:r>
    </w:p>
    <w:p>
      <w:r>
        <w:rPr>
          <w:b/>
        </w:rPr>
        <w:t xml:space="preserve">Quelle: </w:t>
      </w:r>
      <w:r>
        <w:t>https://mcp.opencaselaw.ch/entscheid/vd_gerichte_ZD16.039355</w:t>
      </w:r>
    </w:p>
    <w:p>
      <w:r>
        <w:t>FR: VD_GERICHTE ZD16.039355 du 24 avril 2017</w:t>
      </w:r>
    </w:p>
    <w:p>
      <w:r>
        <w:t>IT: VD_GERICHTE ZD16.039355 del 24 aprile 2017</w:t>
      </w:r>
    </w:p>
    <w:p>
      <w:pPr>
        <w:pStyle w:val="Heading2"/>
      </w:pPr>
      <w:r>
        <w:t>Erwägungen</w:t>
      </w:r>
    </w:p>
    <w:p>
      <w:r>
        <w:rPr>
          <w:b/>
        </w:rPr>
        <w:t>E. 5</w:t>
      </w:r>
    </w:p>
    <w:p>
      <w:r>
        <w:t>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(cf. art. 28 al. 1 LAI). Pour évaluer le taux d’invalidité, le revenu que l’assuré aurait pu obtenir s’il n’était pas invalide est comparé avec celui qu’il pourrait obtenir en exerçant l’activité qui peut raisonnablement être exigée de lui après les</w:t>
      </w:r>
    </w:p>
    <w:p>
      <w:r>
        <w:t>- 16 - traitements et les mesures de réadaptation, sur un marché du travail équilibré (cf.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2c).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(cf. ATF 126 V 353 consid. 5b et 125 V 351 consid. 3a ; TF 9C_418/2007 du 8 avril 2008 consid. 2.1).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w:t>
      </w:r>
    </w:p>
    <w:p>
      <w:r>
        <w:t>- 17 - preuve, ni sa désignation comme rapport ou comme expertise, mais bel et bien son contenu (cf. ATF 134 V 231 consid. 5.1, 125 V 351 consid. 3a et les références citées ; TF 9C_1023/2008 du 30 juin 2009 consid. 2.1.1). Un rapport médical qui émane d'un service médical régional au sens de l'art. 59 al. 2bis LAI a valeur probante s'il remplit les exigences requises par la jurisprudence sur le contenu des rapports médicaux rappelées ci-dessus (cf. TF 9C_600/2010 du 21 janvier 2011 consid. 2).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(cf. ATF 125 V 351 consid. 3b/cc et les références ; cf. TF 8C_15/2009 du 11 janvier 2010 consid. 3.2).</w:t>
      </w:r>
    </w:p>
    <w:p>
      <w:r>
        <w:rPr>
          <w:b/>
        </w:rPr>
        <w:t>E. 6</w:t>
      </w:r>
    </w:p>
    <w:p>
      <w:r>
        <w:t>En l'espèce, dans la décision litigieuse du 8 août 2016, l'intimé a refusé d'entrer en matière sur la nouvelle demande de prestations déposée par le recourant le 29 juillet 2015. Toutefois, il résulte des pièces au dossier qu'en réalité, l’intimé est implicitement entré en matière sur cette demande. En effet, il ne s'est pas contenté d'examiner les pièces produites à l'appui de celle-ci, mais il a invité le Dr M.________, dans un courrier du 9 juin 2016, à répondre à deux questions sur l'état du recourant. Dès lors, il convient d'examiner si, entre la dernière décision entrée en force et reposant sur un examen matériel du droit à la rente – soit la décision du 11 août 2008, confirmée par arrêt du 8 décembre 2009 de la Cour de céans – et la décision litigieuse du 8 août 2016, l’état de santé du recourant s’est modifié dans une mesure propre à justifier désormais l’octroi de prestations de l’assurance-invalidité. a) Le recourant se prévaut d'une péjoration de son état de santé et soutient qu’il n’est plus en mesure de travailler. Il s’appuie notamment sur le rapport du 24 août 2015 et le certificat médical du</w:t>
      </w:r>
    </w:p>
    <w:p>
      <w:r>
        <w:t>- 18 -</w:t>
      </w:r>
    </w:p>
    <w:p>
      <w:r>
        <w:rPr>
          <w:b/>
        </w:rPr>
        <w:t>E. 7</w:t>
      </w:r>
    </w:p>
    <w:p>
      <w:r>
        <w:t>Le recourant se prévaut encore de son âge, sous-entendant qu’il ne pourrait plus être exigé qu’il exploite sa capacité de travail dans une activité adaptée.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w:t>
      </w:r>
    </w:p>
    <w:p>
      <w:r>
        <w:t>- 22 -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(cf. ATF 138 V 457 consid. 3.3 ; TF 9C_716/2014 du 19 février 2015 consid. 4.2). Il est par ailleurs admis que le seuil à partir duquel on peut parler d'âge avancé se situe autour de 60 ans, même si le Tribunal fédéral n'a pas fixé d'âge limite jusqu'à présent (cf. ATF 138 V 457 consid. 3.1 ; TF 9C _612/2007 du 14 juillet 2008 consid. 5.2).</w:t>
      </w:r>
    </w:p>
    <w:p>
      <w:r>
        <w:t>- 23 - Cette jurisprudence est applicable lorsque l’administration doit statuer sur le droit aux prestations ensuite d’une première demande et qu’il s’agit de déterminer si un assuré qui doit changer d’emploi en raison d’atteintes à la santé peut encore mettre en valeur sa capacité résiduelle de gain, dans une nouvelle activité professionnelle, sur un marché de l’emploi réputé équilibré. Il s’agit alors de prendre en considération le fait que l’âge peut constituer un facteur excluant un tel reclassement professionnel. Il en va différemment lorsqu’un assuré a présenté une première demande de prestations et que l’administration l’a rejetée au motif qu’il disposait encore, dans une activité adaptée à son état de santé, d’une capacité résiduelle de gain excluant le droit à la rente. En cas de nouvelle demande,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 jurisprudence rendue à ce sujet et publiée in ATF 138 V 457 consid. 3.1 (cf. TF 9C_899/2015 du 4 mars 2016 consid. 4.3.2 s. et les références). b) En l’espèce, la jurisprudence relative aux personnes proches de l’âge de la retraite n’est pas applicable. D’une part, le recourant n’exerce plus d’activité professionnelle depuis son licenciement au début de l’année 2006. En particulier, il n’a pas repris d’activité adaptée après la décision du 11 août 2008 lui octroyant une rente limitée au 31 mai 2007, confirmée par la Cour de céans dans son arrêt du 8 décembre 2009. Pourtant, dans cette décision, l’intimé avait déterminé que le recourant disposait encore, dès début 2007, d’une capacité de travail dans une activité adaptée à son état de santé, excluant le droit à la rente. Ainsi, dans le cadre de la nouvelle demande, l’intéressé savait, en raison de la procédure antérieure, qu'un changement d'activité était attendu de sa part, conformément aux règles régissant l'assurance-invalidité. Il ressort du considérant 6 supra que la situation du recourant est comparable à celle ayant conduit à la décision du 11 août 2008. La seule modification réside dans l’écoulement du</w:t>
      </w:r>
    </w:p>
    <w:p>
      <w:r>
        <w:t>- 24 - temps. Dans ces circonstances, le seul facteur de l’âge « avancé » ne peut entraîner l’application de la jurisprudence précitée. D’autre part, le moment où la capacité de travail a été évaluée médicalement, soit au moment où tous les éléments médicaux nécessaires au prononcé de la décision ont été réunis, correspond au 14 décembre 2007, date à laquelle le Dr S.________ du SMR a rendu son rapport. Ce spécialiste a attesté l’exigibilité d’une activité adaptée, qui a ensuite été confirmée par plusieurs médecins (cf. rapport du 26 décembre 2007 du Dr C.________, avis médicaux des 30 mai et 27 juillet 2016 du Dr Q.________, courrier des 16 juin et 5 septembre 2016 du Dr M.________), démontrant que la situation médicale n’a pas évolué depuis lors. Au moment déterminant, soit en décembre 2007, l’intéressé était âgé de 48 ans. Il était alors encore loin d’atteindre l’âge à partir duquel la jurisprudence évoquée plus haut est applicable. Ainsi, le recourant ne saurait être considéré comme n’étant plus en mesure, du fait de son âge, de mettre en valeur la capacité de travail qui lui est reconnue – depuis décembre 2007 – sur le marché équilibré du travail, et se voir octroyer des prestations de l’assurance- invalidité pour ce motif.</w:t>
      </w:r>
    </w:p>
    <w:p>
      <w:r>
        <w:rPr>
          <w:b/>
        </w:rPr>
        <w:t>E. 8</w:t>
      </w:r>
    </w:p>
    <w:p>
      <w:r>
        <w:t>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1bis LAI). En l'occurrence, vu l'ampleur de la procédure, les frais sont fixés à 400 fr. et mis à la charge du recourant qui succombe (cf. art. 49 al. 1 LPA-VD). Le recourant qui n'obtient pas gain de cause n'a en outre pas droit à des dépens (cf. art. 61 let. g LPGA, art. 55 LPA-VD).</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