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ZD16.038756 vom 13. April 2017</w:t>
      </w:r>
    </w:p>
    <w:p>
      <w:r>
        <w:t>VD Tribunal cantonal, 2017-04-13, FR</w:t>
      </w:r>
    </w:p>
    <w:p>
      <w:r>
        <w:rPr>
          <w:b/>
        </w:rPr>
        <w:t xml:space="preserve">Quelle: </w:t>
      </w:r>
      <w:r>
        <w:t>https://mcp.opencaselaw.ch/entscheid/vd_gerichte_ZD16.038756</w:t>
      </w:r>
    </w:p>
    <w:p>
      <w:r>
        <w:t>FR: VD_GERICHTE ZD16.038756 du 13 avril 2017</w:t>
      </w:r>
    </w:p>
    <w:p>
      <w:r>
        <w:t>IT: VD_GERICHTE ZD16.038756 del 13 aprile 2017</w:t>
      </w:r>
    </w:p>
    <w:p>
      <w:pPr>
        <w:pStyle w:val="Heading2"/>
      </w:pPr>
      <w:r>
        <w:t>Erwägungen</w:t>
      </w:r>
    </w:p>
    <w:p>
      <w:r>
        <w:rPr>
          <w:b/>
        </w:rPr>
        <w:t>E. 6</w:t>
      </w:r>
    </w:p>
    <w:p>
      <w:r>
        <w:t>La recourante a également contesté la suppression de la rente au motif que l’intimé aurait dû préalablement la mettre au bénéfice d’une réadaptation professionnelle. Son argumentation sur ce point est fondée. a)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cas échéant, il est nécessaire de mettre préalablement en œuvre une mesure d’observation professionnelle (afin d’établir l’aptitude au travail, la résistance à l’effort, etc.), voire des</w:t>
      </w:r>
    </w:p>
    <w:p>
      <w:r>
        <w:t>- 31 - mesures de réadaptation professionnelle.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(TF 9C_283/2016 du 5 décembre 2016 consid. 6.2 avec les références). b) En l’espèce, la recourante était âgée de plus de 59 ans lorsque la décision litigieuse a été rendue. Elle percevait une rente depuis près de 14 ans. Une réadaptation par elle-même, sans appui de l’intimé, n’était pas raisonnablement exigible et il appartenait à ce dernier de lui apporter son soutien par des mesures de réadaptation avant toute suppression du droit à la rente. Une mesure d’observation professionnelle dans un Centre d’observation professionnel de l’assurance-invalidité (COPAI), un stage professionnel pour un réentraînement au travail, ainsi qu’une aide au placement, paraissent indiqués, mais il appartiendra, in fine, à l’intimé de déterminer les mesures adéquates au vu de l’expertise médicale pluridisciplinaire à mettre en œuvre.</w:t>
      </w:r>
    </w:p>
    <w:p>
      <w:r>
        <w:t>- 32 -</w:t>
      </w:r>
    </w:p>
    <w:p>
      <w:r>
        <w:rPr>
          <w:b/>
        </w:rPr>
        <w:t>E. 7</w:t>
      </w:r>
    </w:p>
    <w:p>
      <w:r>
        <w:t>a) En définitive, le recours doit être admis et la décision rendue le 7 juillet 2016 par l'intimé annulée. La cause lui est renvoyée pour complément d'instruction dans le sens des considérants et nouvelle décision. b) L’intimé a supprimé l’effet suspensif d’un éventuel recours. Au vu du présent arrêt, il lui appartiendra de reprendre le versement de la rente d’invalidité dont la recourante est titulaire et qui a été supprimée à tort sans aucune mesure de réadaptation professionnelle (TF 9C_283/2016 du 5 décembre 2016 consid. 6.4). c)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il convient d'arrêter les frais judiciaires à 400 fr. et de les mettre à charge de l’intimé, qui succombe. d) Obtenant gain de cause, la recourante, assistée d'un mandataire professionnel, a par ailleurs droit à des dépens, fixés in casu à 2’500 fr.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