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ZD16.038432 vom 11. Mai 2017</w:t>
      </w:r>
    </w:p>
    <w:p>
      <w:r>
        <w:t>VD Tribunal cantonal, 2017-05-11, FR</w:t>
      </w:r>
    </w:p>
    <w:p>
      <w:r>
        <w:rPr>
          <w:b/>
        </w:rPr>
        <w:t xml:space="preserve">Quelle: </w:t>
      </w:r>
      <w:r>
        <w:t>https://mcp.opencaselaw.ch/entscheid/vd_gerichte_ZD16.038432</w:t>
      </w:r>
    </w:p>
    <w:p>
      <w:r>
        <w:t>FR: VD_GERICHTE ZD16.038432 du 11 mai 2017</w:t>
      </w:r>
    </w:p>
    <w:p>
      <w:r>
        <w:t>IT: VD_GERICHTE ZD16.038432 del 11 maggio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Compte tenu des féries d’été (art 38 al 4 let.b LPGA), le recours qui satisfait en outre aux autres conditions de formes prescrites par la loi (cf. art. 61 let. b LPGA notamment) a été interjeté à temps. Il y a donc lieu d'entrer en matière. b) La LPA-VD s'applique aux recours et contestations par voie d'action dans le domaine des assurances sociales (cf. art. 2 al. 1 let. c LPA‑VD). La Cour des assurances sociales du Tribunal cantonal est compétente pour statuer (art. 93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w:t>
      </w:r>
    </w:p>
    <w:p>
      <w:r>
        <w:t>- 9 - b) Le recours porte en l’occurrence sur le droit de la recourante à des prestations de l’assurance invalidité sous forme de rente d’invalidité ou de reclassement.</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un degré d'invalidité de 40% au moins donne droit à un quart de rente, un degré d'invalidité de 50% à une demi-rente, un degré d'invalidité de 60% au moins à trois-quarts de rente et un degré d'invalidité de 70% au moins à une rente entière. b) Pour pouvoir fixer le degré d’invalidité, l’administration - en cas de recours, le tribunal - se base sur des documents médicaux, ainsi</w:t>
      </w:r>
    </w:p>
    <w:p>
      <w:r>
        <w:t>- 10 -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w:t>
      </w:r>
    </w:p>
    <w:p>
      <w:r>
        <w:rPr>
          <w:b/>
        </w:rPr>
        <w:t>E. 4</w:t>
      </w:r>
    </w:p>
    <w:p>
      <w:r>
        <w:t>La recourante reproche à l’intimé d’avoir surévalué sa capacité de travail tant dans son activité habituelle que dans son activité adaptée, compte tenu de ses limitations fonctionnelles et des compétences limitées ressortant du bilan effectué par Mme [...]. Le Dr C.________ à qui s’est référé l’intimé pour prendre sa décision, a chiffré la capacité de travail dans l’activité habituelle à 75 % sur la base de l’appréciation du Dr S.________ qui a pour sa part évoqué une capacité de travail entre 50 et 100% dans son activité usuelle (rapport médical du 28 mai 2015). Certes la Dresse M.________ a toujours admis dans l’activité habituelle une capacité de travail résiduelle de 50% (rapport médical du 24 juin 2015 ; rapport médical du 8 mars 2016), mais cette appréciation, qui émane d'un médecin-généraliste et est au demeurant moins détaillée que celle du chirurgien orthopédiste, est sans doute émise avec la bienveillance que l'assurée était en droit d’attendre de son médecin traitant. Cependant, cette divergence n’est guère relevante dès lors que la recourante est encore susceptible d’exercer une activité adaptée à 100% comme cela ressort des rapports médicaux des Dr S.________ et C.________ (rapport médicaux des 28 mai et 14 août 2015).</w:t>
      </w:r>
    </w:p>
    <w:p>
      <w:r>
        <w:t>- 11 - En préambule, la Cour constate que seuls le Dr S.________ et C.________ évoquent et apprécient la capacité de travail dans une activité adaptée. A cet égard, il ressort du rapport médical du Dr S.________ du 28 mai 2015 que la recourante est susceptible d’exercer une activité en position assise à un taux de 100%, une activité debout à 50% et une activité variant les positions à un taux de 50 à 100%. A cela s’ajoute qu’elle doit éviter la marche en terrain irrégulier, le travail accroupi, à genoux, éviter de monter sur une échelle ou un échafaudage, de monter des escaliers, de soulever ou de porter des charges dont la limite de poids n’est pas précisée, ainsi que d’effectuer des rotations en position assise ou debout. Dans son rapport médical du 8 mars 2016, la Dresse M.________ n’a au demeurant pas exclut que l'assurée puisse exercer une activité adaptée à 100%, qu’elle a toutefois subordonnée à des mesures de réadaptation professionnelle. Quant au Dr C.________, c’est sur la base des rapports médicaux des médecins traitants, en particulier le rapport médical du Dr S.________, qu’il a confirmé l’appréciation faite de la capacité de travail (rapport médical du SMR du 14 août 2015). Il n’y a, en l’occurrence, aucune raison de s’écarter de l’évaluation faite par le Dr S.________, médecin traitant et de surcroît spécialiste en chirurgie orthopédique, qui n’est remise en question par aucun autre praticien. Le bilan de compétence confié à Mme [...], psychologue, qui ne se prononce pas, à juste titre, sur la capacité de travail de la recourante, n’est pas plus susceptible de remettre en question cette évaluation, dans la mesure où les difficultés que rencontre la recourante avec le français ou les mathématiques, n’ont aucune incidence sur la capacité de travail déterminée médicalement seulement. Les conclusions de l’OAI fixant la capacité de travail dans une activité adaptée (activité assise respectant les autres limitations fonctionnelles) à 100% sur la base des constatations du médecin traitant lui-même sont à cet égard exemptes de tout reproche.</w:t>
      </w:r>
    </w:p>
    <w:p>
      <w:r>
        <w:t>- 12 -</w:t>
      </w:r>
    </w:p>
    <w:p>
      <w:r>
        <w:rPr>
          <w:b/>
        </w:rPr>
        <w:t>E. 5</w:t>
      </w:r>
    </w:p>
    <w:p>
      <w:r>
        <w:t>Dans un second grief, la recourante conteste les revenus sans et avec invalidité retenus par l’intimé et donc le taux d’invalidité déterminé par l’intimé.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aa) La recourante prétend qu’au montant de 62'398 fr. retenu par l’OAI à titre de revenu sans invalidité doit encore s’ajouter celui de 8'400 fr. (700 fr. x 12) représentant les pourboires dont elle serait, selon elle, gratifiée dans une activité à plein temps.</w:t>
      </w:r>
    </w:p>
    <w:p>
      <w:r>
        <w:t>- 13 - La Cour ne peut que constater que l’OAI a fixé le revenu sans invalidité sur la base des déclarations de la recourante elle-même. En effet, ni dans sa demande de prestation complétée par ses soins, ni dans le formulaire déterminant son statut où elle a indiqué un salaire mensuel de 5'199 fr., pas plus que dans celui complété par son employeur, il n’est fait mention d’un montant supplémentaire reçu à titre de pourboires. L’extrait de compte individuel imprimé le 8 avril 2015 par l’OAI ne permet pas non plus de s’en convaincre. Certes dans le questionnaire qu’il a complété, l’employeur a évoqué un revenu de 65'000 fr. que la recourante réaliserait sans atteinte à la santé mais, faute de motivation ou de documents, on ignore de quoi est constitué ce montant qui reste de toute façon inférieur à celui qu’elle allègue. Dès lors qu’aucun document ne confirme un montant supérieur à celui retenu par l’OAI, cet argument doit être écarté. bb) Pour établir le revenu d'invalide, l’intimé s’est fondé sur le tableau TA1 de l’ESS de 2013 [recte : 2012] adapté à 2014, considérant que la recourante était susceptible de réaliser un revenu issu d’une activité simple et répétitive. Il a ainsi retenu un montant de 52'205 fr. sur lequel il a encore pratiqué un abattement de 10%. D’autre part, afin de soutenir la recourante et dans la perspective d’évaluer les pistes professionnelles envisageables, l’OAI a confié à une psychologue la réalisation d’un bilan de compétence dont les conclusions offrent à la recourante, quoi qu'elle en dise, des perspectives de travail pertinentes et adaptées à ses limitations fonctionnelles et cognitives. En effet, outre le fait que les activités prises en considération dans le tableau TA1 des statistiques de l’ESS recouvrent un large panel d’activité, dont bon nombre correspond à celle qu’est susceptible</w:t>
      </w:r>
    </w:p>
    <w:p>
      <w:r>
        <w:t>- 14 - d’exercer l’assurée compte tenu de ses limitations fonctionnelles et qui ne requièrent aucune compétence particulière, dans la mesure où il s’agit justement d’activité simples, la Cour constate que cette dernière, malgré ses lacunes en français et mathématiques, a su faire preuve dans son activité de gérante de restaurant de compétences pratiques de gestion, de même que de compétences sociales. Forte de ces atouts, l'assurée peut prétendre à des fonctions dans le domaine de la vente qui ne se réduisent pas à l'activité de caissière non polyvalente, ainsi qu'elle le prétend (mémoire de recours du 29 août 2016, ch. 16), étant encore souligné que, contrairement à ce qui ressort de ses écritures, elle est capable de lire le français. Enfin, la psychologue la décrit comme une personne débrouillarde et travailleuse recherchant un travail stable qui lui permette de gagner sa vie correctement, ce qui permet d’envisager de véritables capacités d’adaptation, lui permettant de retrouver une activité simple adaptée telle que celles que recouvre le tableau TA 1 de l’ESS 2012. d) L’intimé a encore tenu compte d’un abattement de 10% sur le revenu d’invalide en raison des limitations fonctionnelles présentées par la recourante. Cette dernière prétend compte tenu de ses nombreux handicaps à un abattement de 25% au moins (mémoire de recours du 29 août 2016). aa) La mesure dans laquelle les salaires ressortissant des statistiques doivent être réduits résulte d'une évaluation globale, dans les limites du pouvoir d'appréciation de l'administration et du juge sous l'angle de l'ensemble des critères tels que l’âge, le handicap, les années de services, la nationalité, la catégorie d’autorisation de séjour ou le taux d’occupation ; il ne se justifie pas de quantifier séparément chacun des critères selon les circonstances d'espèce (ATF 137 V 71 consid. 5.2 et 126 V 75 consid. 5b/bb). Le pouvoir d'examen du juge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w:t>
      </w:r>
    </w:p>
    <w:p>
      <w:r>
        <w:t>- 15 -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(TF 9C_652/2014 du 20 janvier 2015 consid. 3.1). bb) En l’occurrence, les limitations fonctionnelles retenues sont vraisemblablement de nature à influencer les perspectives salariales de la recourante. Quant au fait que cette dernière n’a pas de formation particulière, et dispose de compétences limitées en français et en mathématiques, cela ne peut être considéré comme un critère déterminant au regard de la nature des activités encore exigibles (selon l’ESS, niveau de qualification 1 : tâches physiques ou manuelles simples ; voir TF 9C_297/2011 du 31 janvier 2012 consid. 4.1.5 ; TF 9C_713/2009 du 22 juillet 2010 consid. 4.3 ; TF 9C_377/2009 du 20 janvier 2010 consid. 4.5). Au demeurant, ni son âge, ni sa nationalité ou le taux d’activité, étant précisé qu’elle peut exercer une activité adaptée à 100%, ne sont susceptible d’entrer en considération. Compte tenu de ce qui précède, l’abattement de 10 % admis par l’intimé n’est pas critiquable et le montant de revenu d'invalide retenu par l’OAI apparait fondé, au vu des limitations fonctionnelles et des compétences de la recourante, ainsi que de la jurisprudence rappelée ci- dessus (consid. 5.a). Partant, le degré d’invalidité de 24.7% retenu par l’intimé est correct et c’est à bon droit que l’OAI a refusé l’octroi d’une rente d’invalidité.</w:t>
      </w:r>
    </w:p>
    <w:p>
      <w:r>
        <w:rPr>
          <w:b/>
        </w:rPr>
        <w:t>E. 5.3</w:t>
      </w:r>
    </w:p>
    <w:p>
      <w:r>
        <w:t>; 130 V 488 consid. 4.2 ; TF 9C_349/2013 du 27 septembre 2013 consid. 3.1).</w:t>
      </w:r>
    </w:p>
    <w:p>
      <w:r>
        <w:t>- 17 - En outre, les conditions suivantes doivent être cumulativement remplies : - On doit être en présence d’une invalidité imminente ou déjà survenue qui empêche l’assuré d’exercer sa profession antérieure ou de poursuivre l’activité lucrative qu’il exerçait ou le travail qu’il effectuait dans son domaine d’activité. - L’assuré doit être apte à la réadaptation, c’est-à-dire qu’il doit être objectivement et subjectivement en état de suivre avec succès des mesures de formation professionnelle. - La formation doit être adaptée au handicap et correspondre aux capacités de l’assuré. Elle doit en outre être simple et adéquate et procurer une capacité de gain approximativement équivalente à celle de l’activité antérieure. Les frais d’une formation qui n’offre aucune perspective de mise en valeur économique du travail ne sont pas pris en charge (Circulaires sur les mesures de réadaptions d'ordre professionnel [CMRP], p. 40 ch. 4010). c) En l’espèce, conformément à ce qu’a retenu l’intimé, la recourante, qui n’est plus susceptible d’exercer son activité habituelle à plein temps, présente un degré d’invalidité de 24.7 %, dans le cas d’une reprise d’une activité adaptée, taux qui permet théoriquement l’octroi de mesure de reclassement (cf. consid. 6b), étant rappelé qu'elle a déjà bénéficié d'une mesure d'aide au placement et d'orientation professionnelle. Il ressort du bilan de compétence de la psychologue que la recourante dispose de bonnes capacités pratiques, ainsi que de capacités de raisonnement sur des choses concrètes plutôt qu’abstraites, mais qu’elle n’a pas les prérequis nécessaires, compte tenu de ses lacunes en français et en mathématiques pour effectuer une formation avec une attestation fédérale de formation professionnelle (AFP) ou un certificat fédéral de capacité (CFC).</w:t>
      </w:r>
    </w:p>
    <w:p>
      <w:r>
        <w:t>- 18 - Dès lors, outre le fait qu’elle ne dispose pas d’une formation initiale qualifiée sanctionnée par un CFC, elle ne remplit pas non plus l’une des conditions nécessaires à l’octroi d’une mesure de reclassement, étant précisé qu’elle n’est pas susceptible de suivre avec succès une formation requérant des compétences en français et en mathématiques. A cet égard, on relèvera encore l’incohérence des propos de la recourante qui allègue de sa complète incapacité à effectuer une simple opération mathématique pour motiver sa demande de rente et qui réclame en revanche une formation supposant de bonnes compétences en la matière. Compte tenu de ce qui précède, le recours doit être rejeté, et la décision attaquée confirmée.</w:t>
      </w:r>
    </w:p>
    <w:p>
      <w:r>
        <w:rPr>
          <w:b/>
        </w:rPr>
        <w:t>E. 6</w:t>
      </w:r>
    </w:p>
    <w:p>
      <w:r>
        <w:t>La recourante a également conclu à l’octroi de mesures de reclassement professionnel.</w:t>
      </w:r>
    </w:p>
    <w:p>
      <w:r>
        <w:t>- 16 - a) L'art. 8 al. 1 LAI pose le principe de l'octroi de mesures de réadaptation en faveur des assurés invalides ou menacés d'une invalidité au sens de l’art. 8 LPGA pour autant, d’une part, que celles-ci soient nécessaires et de nature à rétablir, maintenir ou améliorer leur capacité de gain (let. a) et, d’autre part, que les conditions d’octroi des différentes mesures soient remplies (let. b). A teneur de l’art. 8 al. 3, let. b, LAI, les mesures de réadaptation comprennent notamment les mesures d'ordre professionnel au sens des arts. 15 à 18d LAI (orientation professionnelle, formation professionnelle initiale, reclassement, placement, aide en capital). Le droit à une mesure de réadaptation déterminée de l'assurance-invalidité présuppose qu'elle soit appropriée au but de réadaptation poursuivi par l'assurance,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à la réadaptation de l'assuré fait défaut, l'administration peut refuser de mettre en œuvre une mesure ou y mettre fin (TF I_552/06 du 13 juin 2007 consid. 3.2 ; TFA I_370/98 du 26 août 1999, publié in : VSI 2002 p. 111).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w:t>
      </w:r>
    </w:p>
    <w:p>
      <w:r>
        <w:rPr>
          <w:b/>
        </w:rPr>
        <w:t>E. 7</w:t>
      </w:r>
    </w:p>
    <w:p>
      <w:r>
        <w:t>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fr. et 1’000 fr. (art. 69 al. 1bis LAI). En l'espèce, compte tenu de l'ampleur de la procédure, les frais de justice doivent être arrêtés à 400 fr. à la charge de la recourante (art. 69 al. 1bis LAI ; art. 49 al. 1 LPA-VD), sans qu'il se justifie d'allouer des dépens dès lors que l'intéressée n'obtient pas gain de cause (art. 61 let. g LPGA; art. 55 al. 1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