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ZD16.037979 vom 21. November 2018</w:t>
      </w:r>
    </w:p>
    <w:p>
      <w:r>
        <w:t>VD Tribunal cantonal, 2018-11-21, FR</w:t>
      </w:r>
    </w:p>
    <w:p>
      <w:r>
        <w:rPr>
          <w:b/>
        </w:rPr>
        <w:t xml:space="preserve">Quelle: </w:t>
      </w:r>
      <w:r>
        <w:t>https://mcp.opencaselaw.ch/entscheid/vd_gerichte_ZD16.037979</w:t>
      </w:r>
    </w:p>
    <w:p>
      <w:r>
        <w:t>FR: VD_GERICHTE ZD16.037979 du 21 novembre 2018</w:t>
      </w:r>
    </w:p>
    <w:p>
      <w:r>
        <w:t>IT: VD_GERICHTE ZD16.037979 del 21 novembre 2018</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(cf. art. 56 al. 1 LPGA et art. 69 al. 1 let. a LAI), dans les trente jours suivant leur notification (art. 60 al. 1 LPGA). b) En l’occurrence, déposé en temps utile compte tenu des féries d’été (art. 38 al. 4 let. b LPGA) auprès du tribunal compétent (art. 93 let. a LPA-VD [loi cantonale vaudoise du 28 octobre 2008 sur la procédure administrative ; RSV 173.36]) et respectant les autres conditions formelles prévues par la loi (art. 61 let. b LPGA notamment), le recours est recevable.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confirmé par TF 9C_441/2008 du 10 juin 2009 consid 2.1). b) Le litige porte sur le caractère limité dans le temps de la rente octroyée, au motif d’un retour à une pleine capacité de travail dans une activité adaptée tel que fondé sur l’examen de la Dresse E.________ et du Dr T.________, nonobstant les atteintes à la santé psychique de la recourante. L’évaluation des atteintes à la santé physique n’étant ni contestée, ni critiquable, elle ne sera pas remise en question.</w:t>
      </w:r>
    </w:p>
    <w:p>
      <w:r>
        <w:t>- 17 -</w:t>
      </w:r>
    </w:p>
    <w:p>
      <w:r>
        <w:rPr>
          <w:b/>
        </w:rPr>
        <w:t>E. 3</w:t>
      </w:r>
    </w:p>
    <w:p>
      <w:r>
        <w:t>a) Est réputée invalidité l'incapacité de gain totale ou partielle qui est présumée permanente ou de longue durée, résultant d'une infirmité congénitale, d'une maladie ou d'un accident (art. 8 al. 1 LPGA et</w:t>
      </w:r>
    </w:p>
    <w:p>
      <w:r>
        <w:rPr>
          <w:b/>
        </w:rPr>
        <w:t>E. 4</w:t>
      </w:r>
    </w:p>
    <w:p>
      <w:r>
        <w:t>Pour pouvoir fixer le taux d'invalidité, l'administration (le tribunal en cas de recours) se base sur les documents que les médecins –</w:t>
      </w:r>
    </w:p>
    <w:p>
      <w:r>
        <w:t>- 19 - d'autres spécialistes le cas échéant –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peuvent encore raisonnablement être exigés de l'assuré (ATF 125 V 256 consid. 4 ; TF 9C_58/2013 consid. 3.1). Le juge apprécie librement les preuves, sans être lié par des règles formelles, en procédant à une appréciation complète et rigoureuse de celles-ci (cf. art. 61 let. c LPGA). Dans le domaine médical, le juge doit examiner de manière objective tous les moyens de preuves, quelle qu'en soit la provenance, avant de décider si les documents à disposition permettent de porter un jugement valable sur le droit litigieux (TF 9C_168/2007 du 8 janvier 2008 consid. 4.2). Si les rapports médicaux sont contradictoires, il ne peut trancher l'affaire sans apprécier l'ensemble des preuves et sans indiquer les raisons pour lesquelles il se fonde sur une opinion plutôt que sur une autre. L'élément déterminant pour la valeur probante d'un rapport médical n'est ni son origine, ni sa désignation, mais son contenu (TF 8C_862/2008 précité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134 V 231 consid. 5.1 ; 133 V 450 consid. 11.1.3 ; 125 V 351 consid. 3a ; TF 8C_862/2008 précité consid. 4.2 ; 9C_773/2007 du 23 juin 2008 consid. 2.1 ; 9C_168/2007 précité consid. 4.2).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w:t>
      </w:r>
    </w:p>
    <w:p>
      <w:r>
        <w:t>- 20 - en faveur de leurs patients ; il convient dès lors en principe d’attacher plus de poids aux constatations d’un expert qu’à celles du médecin traitant (ATF 125 V 351 consid. 3b/cc et les références ; TF 8C_862/2008 précité consid. 4.2 ; TFA I 554/01 du 19 avril 2002 consid. 2a).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 TF 9C_776/2009 du 11 juin 2010 consid. 2.2). A cet égard, il convient de rappeler qu’au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 TF I 514/06 du 25 mai 2007 consid. 2.2.1, in SVR 2008 IV n° 15 p. 43 ; 9C_94/2009 du 29 avril 2009 consid. 3.3 ; 8C_936/2008 du 7 juillet 2009 consid. 6). Il n'en va différemment que si les médecins traitants font état d'éléments objectifs ayant été ignorés dans le cadre de l'expertise et qui sont suffisamment pertinents pour remettre en cause les conclusions de l'expertise (TF 8C_392/2010 du 21 décembre 2010 consid. 5.2 ; 9C_341/2010 du 12 octobre 2010 consid. 2.2 ; 9C_514/2009 du 3 novembre 2009 consid. 4 ; 8C_14/2009 du 8 avril 2009 consid. 3 et 9C_289/2007 du 29 janvier 2008 consid. 4.2).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w:t>
      </w:r>
    </w:p>
    <w:p>
      <w:r>
        <w:t>- 21 -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(cf. ATF 125 V 352 consid. 3b/aa et les références).</w:t>
      </w:r>
    </w:p>
    <w:p>
      <w:r>
        <w:rPr>
          <w:b/>
        </w:rPr>
        <w:t>E. 5</w:t>
      </w:r>
    </w:p>
    <w:p>
      <w:r>
        <w:t>Selon la jurisprudence (TF 9C_307/2008 du 4 mars 2009 consid. 3 et la référence), la décision qui accorde simultanément une rente avec effet rétroactif et en prévoit la réduction ou la suppression correspond à une décision de révision au sens de l’art. 17 al. 1 LPGA. En vertu de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Une diminution notable du taux d’invalidité est établie, notamment, dès qu’une amélioration déterminante de la capacité de gain a duré trois mois sans interruption notable et sans qu’une complication prochaine ne soit à craindre (art. 88a al. 1 RAI). La rente peut être révisée non seulement en cas de modification sensible de l'état de santé, mais aussi lorsque celui-ci est resté en soi le même, mais que ses conséquences sur la capacité de gain ont subi un changement important (ATF 130 V 343 consid. 3.5 ; 113 V 273 consid. 1a p. 275). Une simple appréciation différente d'un état de fait, qui, pour l'essentiel, est demeuré inchangé n'appelle en revanche pas à une révision au sens de l'art. 17 LPGA (ATF 112 V 371 consid. 2b p. 372, 387 consid. 1b).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w:t>
      </w:r>
    </w:p>
    <w:p>
      <w:r>
        <w:t>- 22 - comparaison des revenus conformes au droit, et les circonstances régnant à l'époque de la décision litigieuse (ATF 133 V 108 consid. 5 ; TF 9C_97/2011 du 21 juillet 2011 consid. 4).</w:t>
      </w:r>
    </w:p>
    <w:p>
      <w:r>
        <w:rPr>
          <w:b/>
        </w:rPr>
        <w:t>E. 6</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157 consid. 1a ; 121 V 204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cf. ATF 130 I 180 consid. 3.2).</w:t>
      </w:r>
    </w:p>
    <w:p>
      <w:r>
        <w:rPr>
          <w:b/>
        </w:rPr>
        <w:t>E. 7</w:t>
      </w:r>
    </w:p>
    <w:p>
      <w:r>
        <w:t>a) En l’espèce, l’intimé s’est fondé sur le rapport des Drs T.________ et E.________ pour octroyer à la recourante une rente limitée dans le temps. Les médecins traitants ont émis une opinion divergente quant à l’évaluation de la capacité de travail en lien avec l’état de santé psychique de la recourante. Leurs rapports, détaillés et motivés ont conduit le juge instructeur à ordonner la mise en œuvre d’une expertise judiciaire, dont l’intimé remet en cause la valeur probante. L’intimé ne peut être suivi dans ses critiques. L’expertise du Dr H.________ remplit les conditions de la jurisprudence pour se voir</w:t>
      </w:r>
    </w:p>
    <w:p>
      <w:r>
        <w:t>- 23 - reconnaître pleine valeur probante (cf. supra consid. 4). En effet, les points litigieux importants ont fait l'objet d'une étude fouillée, le rapport se fonde sur deux examens de la recourante, son dossier médical complet et procède à une discussion fine d’un cas manifestement délicat, par une approche d’exclusion des diagnostics pouvant entrer en ligne de compte. En particulier, l’expert explique la divergence entre les conclusions des médecins traitants et celles du SMR. Il expose de manière convaincante pourquoi il retient le diagnostic de trouble de l’humeur persistant. Contrairement à ce que soutient l’intimé, on ne saurait reprocher à l’expert d’avoir pris en compte les plaintes de la recourante dès lors que cela relève précisément du mandat d’expertise. Cette dernière n’est pas non plus emprunte de jugements de valeurs, mais procède bien d’une discussion du cas quant à la nature du trouble de l’humeur persistant et son impact sur la capacité de travail résiduelle. L’intimé reproche en particulier à l’expert d’avoir exposé qu’il était évident que la recourante ne reprendrait pas d’activité professionnelle, ce qui démontrerait une certaine subjectivité. On ne voit pas en quoi le fait que l’expert rapporte la démotivation de la recourante à reprendre une activité invaliderait son appréciation de la capacité de travail. Il était au contraire de son devoir de le relever, ceci afin de distinguer appréciation subjective de la recourante et éléments objectifs. L’intimé reproche finalement à l’expert une contradiction dans son appréciation de la capacité de travail puisqu’il dit qu’un changement de médication n’en permettrait pas un recouvrement même partiel, mais retient tout de même une capacité de travail de deux à trois heures par jour. Ceci ne suffit pas à nier la valeur probante de l’appréciation de l’expert. Ce dernier est en définitive clair lorsqu’il affirme que la capacité de travail n’est pas complètement nulle. On comprend finalement qu’une modification de la médication ne serait pas susceptible d’améliorer dite capacité. En définitive, le rapport d’expertise a été établi en pleine connaissance de l’anamnèse et de toutes les pièces médicales pertinentes, la description de l’atteinte à la santé est claire et les conclusions sont dûment motivées, de sorte qu’il convient de leur conférer pleine valeur probante.</w:t>
      </w:r>
    </w:p>
    <w:p>
      <w:r>
        <w:t>- 24 - Au vu de ce qui précède, il n’est pas nécessaire d’examiner les griefs de la recourante à l’encontre des différents rapports du SMR. b) Le Dr H.________ retient une capacité de travail dans une activité adaptée, soit une activité simple non soumise à un rythme soutenu, qui implique des positions variées et ne demande pas d’effort de concentration important, de deux à trois heures par jour. On retient dès lors que la recourante présente une capacité de travail de 2.5 heure par jour, soit 12.5 heures par semaine, ce qui représente 29.97 % (arrondi à 30 %) pour un plein temps (soit 41.7 heures par semaine conformément aux statistiques sur la durée normale du travail dans les entreprises publiées par l’Office fédéral de la statistique).</w:t>
      </w:r>
    </w:p>
    <w:p>
      <w:r>
        <w:rPr>
          <w:b/>
        </w:rPr>
        <w:t>E. 8</w:t>
      </w:r>
    </w:p>
    <w:p>
      <w:r>
        <w:t>a) Dès lors que la recourante présente une capacité de travail résiduelle dans une activité adaptée à son état de santé, il convient de procéder à une comparaison des revenus selon la méthode mixte d’évaluation de l’invalidité (cf. supra consid. 3b). La recourante soutient que sa capacité de travail est, sur la base des conclusions du Dr H.________, de 30 %, ce qui n’influence pas son droit à la rente. Cela serait vrai si elle devait être considérée comme active à 100 %. Or son statut est de 70 % active et 30 % ménagère, ce qu’elle n’a pas contesté. Le calcul du degré d’invalidité doit tenir compte de cette pondération. b) Compte tenu de la date de la décision administrative en cause, qui détermine l'application dans le temps des règles légales au présent litige (TF 9C_446/2013 et 9C_469/2013 du 21 mars 2014 consid. 4.2), il n'y a pas lieu de tenir compte de la modification réglementaire relative à l'évaluation de l'invalidité des assurés exerçant une activité lucrative à temps partiel entrée en vigueur le 1er janvier 2018 (art. 27bis RAI et les dispositions transitoires de la modification du RAI du 1er décembre 2017, RO 2017 7581 ; voir aussi TF 9C_8/2018 consid. 2.3 et 9C_553/2017 du 18 décembre 2017 consid. 6.2).</w:t>
      </w:r>
    </w:p>
    <w:p>
      <w:r>
        <w:t>- 25 - Ainsi, le taux d’invalidité doit être calculé de la manière suivante : (revenu sans invalidité à 70 % – revenu d’invalide) / revenu sans invalidité à 70 % x 100 x 0.7 (TF 9C_8/2018 du 14 mars 2018 consid. 5.1 ; TF 9C_858/2017 du 20 février 2018 consid. 5.1). c)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(ci-après : ESS) publiée par l'Office fédéral de la statistique (ATF 129 V 472 consid. 4.2.1; TF 9C_900/2009 du 27 avril 2010 consid. 3.3 ; TF 9C_609/2009 du 15 avril 2010 consid. 8.2.2). On se réfère alors à la statistique des salaires bruts standardisés, en se fondant toujours sur la médiane ou valeur centrale (ATF 124 V 323 consid. 3b/bb ; TF 9C_93/2008 du 19 janvier 2009 consid. 6.3.3 ; TF I 7/06 du 12 janvier 2007 consid. 5.2; VSI 1999 p. 182). Les salaires bruts standardisés mentionnés dans I’ESS correspondent à une semaine de travail de 40 heures par semaine et il convient de les adapter à la durée du travail hebdomadaire moyenne dans les entreprises pour l’année prise en considération. Par ailleurs, l’assuré peut, selon sa situation personnelle, voir ses perspectives salariales être réduites par des facteurs tels que l’âge, le handicap, les années de services, la nationalité, la catégorie d’autorisation de séjour ou le taux d’occupation. Une évaluation globale des effets de ces circonstances sur le revenu d’invalide est nécessaire. La</w:t>
      </w:r>
    </w:p>
    <w:p>
      <w:r>
        <w:t>- 26 - jurisprudence admet de procéder à une déduction de 25 % au maximum pour en tenir compte (ATF 134 V 22 ; ATF 126 V 75). La recourante n’ayant pas repris d’activité professionnelle, c’est à juste titre que l’intimé a déterminé le revenu d’invalide sur la base de l’ESS, en particulier le salaire auquel peuvent prétendre les femmes effectuant des tâches physiques ou manuelles simples dans le secteur privé, niveau de compétence 1. L’intimé peut-être suivi dans son calcul du revenu d’invalide, à ceci près que l’indexation du montant de 51'144 fr. 10, qui correspond à l’année 2012 et tient correctement compte d’un horaire de travail normal dans une entreprise de 41.7 heures par semaine, porte le salaire annuel à 51'914 fr. 10 en 2014 (+ 0.7 en 2013 et + 0.8 en 2014) et non 51'801 fr. 21. Pour un taux d’activité de 30 %, tel que déterminé par le Dr H.________, le revenu annuel est de 15'574 fr. 20 en 2014. C’est à raison que l’intimé a tenu compte d’un abattement de 10 %. Le revenu d’invalidité est ainsi de 14'016 fr. 80 pour l’année 2014. d) Le revenu hypothétique de la personne valide se détermine en établissant au degré de la vraisemblance prépondérante ce qu’elle aurait effectivement pu réaliser au moment déterminant si elle était en bonne santé ; le revenu sans invalidité doit être évalué de la manière la plus concrète possible ; c’est pourquoi il se déduit en principe du salaire réalisé en dernier lieu par l’assuré avant l’atteinte à la santé, en tenant compte si nécessaire de l’évolution des prix et de l’évolution des salaires jusqu’au moment de la naissance du droit à la rente (ATF 134 V 322 consid. 4.1 et 129 V 222 consid. 4.3.1 ; TF 9C_651/2008 du 9 octobre 2009 consid. 6.1.2.1). On constate en l’espèce avec la recourante que le revenu retenu par l’intimé, soit 32'137 fr., est le montant figurant sur l’extrait du compte individuel de la recourante pour l’année 2011. Il manquerait alors à ce montant une indexation à 2014. Quoiqu’il en soit, l’intimé ne pouvait prendre tel quel ce revenu comme revenu sans invalidité. Il ne correspond en effet pas à un taux d’activité de 70 %. Selon la demande de prestations de la recourante déposée en septembre 2012, son taux d’activité était de</w:t>
      </w:r>
    </w:p>
    <w:p>
      <w:r>
        <w:t>- 27 - 50 %. Dans le questionnaire pour employeur du 3 octobre 2012, L.________ SA a indiqué que la recourante travaillait 15 heures sur 40 depuis le 1er juillet 2002, jusqu’à son incapacité totale de travail le 30 mai 2012. Le salaire annuel de la recourante était de 28'092 francs par année depuis le 1er avril 2012, salaire qui correspondait à son rendement et à ce qu’elle aurait gagné au 3 octobre 2012 sans atteinte à la santé. Le taux d’activité de la recourante pour L.________ SA avant son atteinte à la santé était donc de 37.5 % (15 heures x 100 / 40 heures), pour un salaire de 28'092 en 2012. La recourante faisait en outre 4 heures de ménage par semaine chez K.________, jusqu’en septembre 2012, pour un salaire de 4'498 fr. par année, salaire qui était également celui qu’elle aurait perçu sans l’atteinte à la santé selon le questionnaire pour employeur du 5 novembre 2012. Comparé à un nombre d’heures de travail usuel en entreprise de 41.7 heures en 2012, la recourante travaillait pour K.________ au taux d’activité de 9.6 %. Ainsi, avant l’atteinte à la santé, la recourante travaillait à 47.10 %, pour un salaire annuel de 32'590 fr. selon les données des employeurs. L’intimé s’en était du reste rendu compte, puisqu’il a demandé à la recourante le 5 janvier 2015 d’expliquer pour quelle raison elle avait indiqué sur le formulaire de détermination du statut du 10 octobre 2012 qu’elle travaillerait à 70 % sans atteinte à la santé, alors que son taux d’activité était de 37.5 % L.________ SA et de 10 % pour K.________ avant l’incapacité de travail. La recourante a répondu avoir travaillé 20 heures par semaine chez L.________ SA de 2002 à 2008. De 2004 à 2008, elle faisait en outre le ménage du bureau de K.________ chez L.________ SA pour l’équivalent d’un 10 %. Parallèlement, elle travaillait comme femme de ménage chez K.________ à raison d’environ 4 heures par semaine, soit également 10 %. Ces trois activités cumulées correspondent à un taux d’activité de 70 %. La recourante a précisé que pour des raisons économiques, L.________ SA l’avait contrainte à travailler une heure de moins par jour et lui avait enlevé la charge du bureau de K.________, ce qu’elle ne souhaitait pas. Comme sa santé se dégradait déjà, elle n’avait toutefois pas cherché une autre activité pour compenser cette perte d’activité. Il ressort en effet d’un courrier datant vraisemblablement de 2007 de L.________ SA à la recourante que, dès le 1er décembre 2007 son</w:t>
      </w:r>
    </w:p>
    <w:p>
      <w:r>
        <w:t>- 28 - taux de travail effectif quotidien serait réduit et que dès le 1er janvier 2008, elle n’aurait plus à effectuer le nettoyage du bureau de K.________. Bien qu’il ne soit précisé nulle part au dossier à partir de quand la recourante a effectué les heures de ménage en privé chez K.________, il peut être retenu au degré de la vraisemblance prépondérante que la recourante aurait bien travaillé à 70 % sans atteinte à la santé, ce que l’intimé a du reste admis en confirmant le statut d’active à 70 %. L’intimé ne pouvait dès lors se fonder sur un revenu sans invalidité correspondant à un taux d’activité inférieur. La recourante expose qu’elle présentait déjà des troubles avec répercussion sur la capacité de travail depuis 2008, de sorte que le revenu sans invalidité devrait être calculé en fonction des revenus perçus antérieurement, à savoir en 2007. La recourante ne peut être suivie dans son raisonnement. Bien qu’il soit entendu que lorsque L.________ SA a réduit son taux d’activité, c’est en raison de son état de santé que la recourante n’a pas cherché une activité complémentaire, il n’y a pas au dossier de pièce qui démontrerait que les salaires perçus par la recourante postérieurement à 2007 auraient été fixés en tenant compte de l’atteinte à sa santé. Les salaires indiqués par les deux employeurs correspondaient à son rendement et à ce qu’elle aurait gagné sans atteinte à la santé au taux de 47.10 %. On ne voit dès lors pas de motif de s’en écarter. Il convient dès lors d’extrapoler le revenu annuel de 32'590 fr. correspondant au taux d’activité de 47.10 % pour la même activité exercée à 70 %. Dans cette mesure, la recourante aurait gagné, en 2012, 48'435 fr. 20. Indexé à 2014, ce montant est de 49'164 fr. 40. Conformément à la formule décrite au considérant 8 supra, le degré d’invalidité de la recourante pour la part active se détermine comme suit : (49'164 fr. 40 [revenu sans invalidité à 70 %] – 14'016 fr. 80 [revenu d’invalide]) / 49'164 fr. 40 x 70 %, soit un degré d’invalidité de 50 %.</w:t>
      </w:r>
    </w:p>
    <w:p>
      <w:r>
        <w:t>- 29 - e) Afin de déterminer le degré d’invalidité présenté par la recourante dans la tenue de son ménage, l’intimé a réalisé une enquête ménagère à son domicile le 24 mars 2015 et retenu un empêchement de</w:t>
      </w:r>
    </w:p>
    <w:p>
      <w:r>
        <w:rPr>
          <w:b/>
        </w:rPr>
        <w:t>E. 8.8</w:t>
      </w:r>
    </w:p>
    <w:p>
      <w:r>
        <w:t>%, soit 2.64 % sur une part ménagère de 30 %. Le rapport d’enquête du 26 mars 2015 peut se voir conférer pleine valeur probante selon les réquisits jurisprudentiels (cf. supra consid. 3b) et n’est du reste pas remise en cause par la recourante. f) En définitive, il convient de retenir qu’au-delà du 31 décembre 2014, la recourante présente un degré d’invalidité de 52.64 % lui donnant droit à une demi-rente d’invalidité.</w:t>
      </w:r>
    </w:p>
    <w:p>
      <w:r>
        <w:rPr>
          <w:b/>
        </w:rPr>
        <w:t>E. 9</w:t>
      </w:r>
    </w:p>
    <w:p>
      <w:r>
        <w:t>Au vu de ce qui précède, le recours doit être admis et la décision attaquée réformée en ce sens que la rente entière d’invalidité octroyée à la recourante dès le 1er mai 2013 est réduite à une demi-rente dès le 1er janvier 2015.</w:t>
      </w:r>
    </w:p>
    <w:p>
      <w:r>
        <w:rPr>
          <w:b/>
        </w:rPr>
        <w:t>E. 10</w:t>
      </w:r>
    </w:p>
    <w:p>
      <w:r>
        <w:t>En dérogation à l'art. 61 let. a LPGA, la procédure de recours en matière de contestations portant sur l'octroi ou le refus de prestations de l'assurance-invalidité devant le tribunal cantonal des assurances est soumise à des frais judiciaires (art. 69 al. 1bis LAI). En l'espèce, il convient d'arrêter les frais judiciaires à 400 fr. et de les mettre à charge de l'intimé, qui succombe. La recourante, qui obtient gain de cause avec l'assistance d'un mandataire professionnel, a droit à des dépens (art. 61 let. g LPGA), qu'il convient d'arrêter à 2'000 fr.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