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ZD16.036552 vom 8. November 2016</w:t>
      </w:r>
    </w:p>
    <w:p>
      <w:r>
        <w:t>VD Tribunal cantonal, 2016-11-08, FR</w:t>
      </w:r>
    </w:p>
    <w:p>
      <w:r>
        <w:rPr>
          <w:b/>
        </w:rPr>
        <w:t xml:space="preserve">Quelle: </w:t>
      </w:r>
      <w:r>
        <w:t>https://mcp.opencaselaw.ch/entscheid/vd_gerichte_ZD16.036552</w:t>
      </w:r>
    </w:p>
    <w:p>
      <w:r>
        <w:t>FR: VD_GERICHTE ZD16.036552 du 8 novembre 2016</w:t>
      </w:r>
    </w:p>
    <w:p>
      <w:r>
        <w:t>IT: VD_GERICHTE ZD16.036552 del 8 novembre 2016</w:t>
      </w:r>
    </w:p>
    <w:p>
      <w:pPr>
        <w:pStyle w:val="Heading2"/>
      </w:pPr>
      <w:r>
        <w:t>Erwägungen</w:t>
      </w:r>
    </w:p>
    <w:p>
      <w:r>
        <w:rPr>
          <w:b/>
        </w:rPr>
        <w:t>E. 17</w:t>
      </w:r>
    </w:p>
    <w:p>
      <w:r>
        <w:t>janvier 1961 sur l’assurance-invalidité ; RS 831.201), qui dispose que l’ayant droit ou son représentant légal, ainsi que toute personne ou autorité à qui la prestation est payée, doit communiquer immédiatement à</w:t>
      </w:r>
    </w:p>
    <w:p>
      <w:r>
        <w:t>- 6 - l’office AI tout changement important qui peut avoir des répercussions sur le droit aux prestations, que par ailleurs, l’assuré doit se soumettre à des examens médicaux ou techniques si ceux-ci sont nécessaires à l'appréciation du cas et qu'ils peuvent être raisonnablement exigés (art. 43 al. 3 LPGA), que si l’assuré ou d'autres requérants refusent de manière inexcusable de se conformer à leur obligation de renseigner ou de collaborer à l'instruction, l'assureur peut se prononcer en l'état du dossier ou clore l'instruction et décider de ne pas entrer en matière, après leur avoir adressé une mise en demeure écrite les avertissant des conséquences juridiques et leur impartissant un délai de réflexion convenable (art. 43 al. 3 LPGA), qu’en l’espèce, le recourant a été expressément rendu attentif à son obligation de renseigner et de collaborer à l’instruction, ainsi qu’aux conséquences d’une violation de cette obligation, qu’il n’a toutefois pas communiqué à l’intimé des renseignements importants le concernant, en particulier son emprisonnement à [...] pendant plusieurs semaines en 2013, qu’au regard de la correspondance reçue au tribunal le 3 octobre 2016 d’après laquelle il est domicilié en [...] depuis trois ans, ainsi que des explications contradictoires du recourant relative à la personne en charge de réceptionner ses courriers à cette adresse, on doit également nourrir des doutes sur son domicile en Suisse et sur la fiabilité de ses déclarations, qu’il en va de même si l’on se réfère aux renseignements qu’il a donnés relatifs à son hospitalisation à [...] au printemps 2014, qui n’a pas été confirmée par cette institution, ainsi qu’à son suivi par le Dr [...] jusqu’en septembre 2014, que ce médecin n’a pas confirmé,</w:t>
      </w:r>
    </w:p>
    <w:p>
      <w:r>
        <w:t>- 7 - qu’en l’état, l’intimé ne dispose d’aucun renseignement probant relatif au point de savoir si le recourant présente encore une incapacité de travail ou non, le rapport du 12 août 2016 du Dr [...] étant insuffisant à cet égard, que par ailleurs, le recourant n’établit pas de manière suffisante qu’il n’est pas en mesure de se soumettre à un examen médical en Suisse ni, surtout, qu’il en était incapable depuis que l’intimé lui a demandé, la première fois, de se soumettre à un tel examen, en décembre 2014, puis sommé de le faire en janvier 2015, qu’au vu du laps de temps écoulé depuis cette sommation, il n’est pas vraisemblable que le recourant ait été dans l’impossibilité de se soumettre à cet examen, d’autant qu’il allègue n’être en [...] que depuis quelques semaines, que dans ces circonstances, l’intimé a constaté à juste titre une violation, par l’assuré, de son obligation de collaborer à l’instruction de la cause, qu’il était, par ailleurs, en droit de nourrir des doutes sérieux sur le droit du recourant aux prestations, en l’état du dossier, de sorte que sa décision de suspendre le droit à la rente à titre pré-provisionnel, en vue d’éviter le risque qu’elles soient versées à tort et ne puissent plus être recouvrées par la suite, ne prête pas flanc à la critique, qu’au vu de ce qui précède, le recours est rejeté en application de la procédure simplifiée (art. 82 LPA-VD), que les frais de procédure sont à la charge du recourant (art. 69 al 1bis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