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ZD16.035190 vom 12. Januar 2018</w:t>
      </w:r>
    </w:p>
    <w:p>
      <w:r>
        <w:t>VD Tribunal cantonal, 2018-01-12, FR</w:t>
      </w:r>
    </w:p>
    <w:p>
      <w:r>
        <w:rPr>
          <w:b/>
        </w:rPr>
        <w:t xml:space="preserve">Quelle: </w:t>
      </w:r>
      <w:r>
        <w:t>https://mcp.opencaselaw.ch/entscheid/vd_gerichte_ZD16.035190</w:t>
      </w:r>
    </w:p>
    <w:p>
      <w:r>
        <w:t>FR: VD_GERICHTE ZD16.035190 du 12 janvier 2018</w:t>
      </w:r>
    </w:p>
    <w:p>
      <w:r>
        <w:t>IT: VD_GERICHTE ZD16.035190 del 12 gennaio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w:t>
      </w:r>
    </w:p>
    <w:p>
      <w:r>
        <w:t>- 9 - 173.36), qui s'applique notamment aux recours dans le domaine des assurances sociales (art. 2 al. 1 let. c LPA-VD) et prévoit à cet égard la compétence de la Cour des assurances sociales du Tribunal cantonal (art. 93 let. a LPA-VD). c) En l’espèce, le recours formé par l’assuré a été interjeté en temps utile. Les formalités prévues par la loi, au sens notamment de l’art. 61 let. b LPGA, ont par ailleurs été respectées. Le recours est en conséquence recevable quant à la forme de sorte qu’il y a lieu d’entrer en matière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Le litige porte sur le droit du recourant à une rente d’invalidité, respectivement la quotité de celle-ci au terme de la procédure de révision d’office initiée en 2010 ainsi que des mesures professionnelles mises en œuvre. La pleine capacité de travail exigible assortie d’une diminution de rendement de 50%, retenue par l’OAI, n’étant à juste titre plus contestée, demeure seule litigieuse la question de l’évaluation de l’invalidité, singulièrement, dès lors que le revenu d’invalide n’est pas remis en cause, celle du revenu sans invalidité ainsi que celle de l’activité à prendre en compte pour déterminer ce revenu d’invalide, respectivement la perte de gain et le degré d’invalidité qui en découlent.</w:t>
      </w:r>
    </w:p>
    <w:p>
      <w:r>
        <w:rPr>
          <w:b/>
        </w:rPr>
        <w:t>E. 3</w:t>
      </w:r>
    </w:p>
    <w:p>
      <w:r>
        <w:t>a) Conformément à l'art. 17 al. 1 LPGA, si le taux d'invalidité du bénéficiaire de la rente subit une modification notable, la rente est,</w:t>
      </w:r>
    </w:p>
    <w:p>
      <w:r>
        <w:t>- 10 -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b) Il incombe à la Cour de céans d'examiner si un changement important des circonstances propre à influencer le degré d'invalidité s'est produit depuis les décisions des 30 novembre 2009 et 25 janvier 2010,</w:t>
      </w:r>
    </w:p>
    <w:p>
      <w:r>
        <w:t>- 11 - justifiant la diminution de la rente entière en demi-rente décidée par l’office intimé le 1er juillet 2016. c) La décision attaquée est notamment basée sur un rapport SMR du 4 février 2014, établi par le Dr Z.________. Ce médecin a rapporté une stabilisation de l’état de santé du recourant, constatée par les Drs S.________ et K.________. Cette stabilité ainsi qu’une capacité de travail de 50% retrouvées avaient préalablement été évoquées dans un rapport SMR du 6 septembre 2010, faisant suite à l’expertise du 25 mai 2010 du Dr S.________. Il en résulte que, au vu de ces différents documents médicaux, la situation médicale de l’assuré avait passablement changé depuis la dernière décision de l’OAI entrée en force. L’évolution s’est notamment traduite par des changements importants concernant la capacité de gain, soit une capacité de travail retrouvée de 50% dans une activité adaptée, évoluant vers une pleine capacité de travail avec une diminution de rendement, ce qui n’est d’ailleurs pas contesté par le recourant. Au vu de ce qui précède, la révision entreprise en 2010 de la décision concluant à l’octroi d’une pleine rente en faveur du recourant était, en l’espèce, justifiée.</w:t>
      </w:r>
    </w:p>
    <w:p>
      <w:r>
        <w:rPr>
          <w:b/>
        </w:rPr>
        <w:t>E. 4</w:t>
      </w:r>
    </w:p>
    <w:p>
      <w:r>
        <w:t>a) Faisant application de l’art. 28 al. 2 OLAA (ordonnance sur l’assurance-accidents ; RS 832.202), l’assureur-accident du recourant a établi un revenu sans atteinte en retenant l’ensemble des activités exercées juste avant la survenance de l’atteinte à la santé invalidante, soit la dernière rémunération concrètement perçue au regard des contrats de travail qui prévalaient alors. Admettant en définitive (cf. réponse au recours) que le recourant a rendu vraisemblable l’accomplissement régulier de revenus accessoires, lesquels sont donc à prendre en considération, l’OAI retient toutefois un revenu sans atteinte fondé sur une moyenne des salaires perçus de 2001 à 2005 (soit 5 ans) compte tenu de la prétendue fluctuation desdits revenus accessoires, respectivement d’un salaire maximum dans la profession. b) Dans un premier grief, le recourant tire argument d’une nécessaire coordination entre l’assureur-accidents et l’assureur-invalidité,</w:t>
      </w:r>
    </w:p>
    <w:p>
      <w:r>
        <w:t>- 12 - laquelle imposerait à l’OAI de fonder l’invalidité sur le même revenu sans atteinte que celui calculé par l’assureur-accidents dont la décision est entrée en force à ce sujet. c) Même s’il existe des règles de coordination entre les assureurs et qu’il se justifie d’en tenir compte, l’argumentation du recourant ne saurait être suivie dès lors que, selon la jurisprudence du Tribunal fédéral, assureur-accident et assurance-invalidité ne sont pas liés par l’évaluation de l’autre (TF 9C_751/2007 du 8 août 2008, consid. 3 et les références citées, en particulier ATF 133 V 549, précisant l’ATF 126 V 288) ; au demeurant, il ne faut pas perdre de vue que l’assurance- accidents se fonde en principe, pour évaluer l’invalidité, sur une législation topique et les critères retenus par celle-ci (art. 20 LAA [loi sur l’assurance- accidents ; RS 832.20] et art. 28 OLAA), lesquels ne s’imposent pas à l’AI.</w:t>
      </w:r>
    </w:p>
    <w:p>
      <w:r>
        <w:rPr>
          <w:b/>
        </w:rPr>
        <w:t>E. 5</w:t>
      </w:r>
    </w:p>
    <w:p>
      <w:r>
        <w:t>a) Subsiste un second grief, soit celui du calcul du revenu sans invalidité tel que fondé sur la moyenne des salaires de l’activité principale et des activités accessoires des cinq années précédant l’accident.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Selon l'art. 16 LPGA, pour évaluer le taux d'invalidité, le revenu que l'assuré aurait pu obtenir s'il n'était pas invalide est comparé avec celui qu'il pourrait obtenir en exerçant l'activité qui peut raisonnablement</w:t>
      </w:r>
    </w:p>
    <w:p>
      <w:r>
        <w:t>- 13 -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 129 V 222 consid. 4.3.1 p. 224 et la référence ; TF 9C_439/2009 du 30 décembre 2009 consid. 5.1 ; 9C_651/2008 du 9 octobre 2009 consid. 6.1.2.1).</w:t>
      </w:r>
    </w:p>
    <w:p>
      <w:r>
        <w:t>- 14 - Selon la jurisprudence, il est ainsi possible de s’écarter du dernier salaire perçu avant la survenance de l’atteinte à la santé lorsqu’on ne peut le déterminer sûrement (ATF 128 V 29 consid. 1), notamment lorsqu’il est soumis à des fluctuations importantes ; il faut alors procéder à une moyenne des gains réalisés sur une période relativement longue (TF 9C_868/2009 du 22 avril 2010 consid. 2.3 et 2.4 et 9C_361/2008 du 9 février 2009 consid. 6.2). C’est notamment le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(TF 9C_751/2011 du 30 avril 2012 ; 9C_5/2009 du 16 juillet 2009 consid. 2.3, in SVR 2009 IV n° 58 p. 181). Cela étant,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c) En l’espèce, il ressort du dossier constitué que le recourant est coutumier du cumul des activités, comme son extrait de compte individuel AVS en atteste, ce qui est du reste finalement admis par l’intimé. Mais contrairement à ce que soutient ce dernier, l’intéressé est effectivement titulaire d’un certificat de capacité, ce qui représente un avantage monnayable sur le plan salarial. Il est en outre au bénéfice d’une expérience incontestablement conséquente dans son ancien domaine d’activité, et peut être suivi lorsqu’il soutient avoir été un acharné du travail, prenant peu de vacances ou même de temps libre à consacrer à des loisirs.</w:t>
      </w:r>
    </w:p>
    <w:p>
      <w:r>
        <w:t>- 15 - Rien ne permet dès lors d’exclure, nonobstant le crescendo observé dans le montant de ses derniers salaires annuels, que le recourant n’ait pas su ou pu conserver les emplois occupés avant son accident, et donc bénéficier sur la durée, compte tenu de son âge et de son expérience, de la rémunération dont seules les atteintes à la santé telles qu’induites par l’accident l’ont abruptement et définitivement privé. Cette rémunération, en place depuis le mois de juillet 2006, paraît enfin ne pas avoir souffert de fluctuations importantes, au sens de la jurisprudence, compte tenu précisément de l’employabilité maximale de l’intéressé. Partant, au regard des circonstances particulières du cas du recourant, il n’y a pas lieu de s’écarter de la règle qui commande de prendre en principe en considération les derniers salaires effectivement perçus avant la survenance de l’atteinte à la santé déterminante, ce que firent au demeurant les autres assureurs sociaux que sont l’assureur- accidents et l’institution de prévoyance professionnelle en arrêtant leur calcul de prestations d’invalidité respectifs. e) Si le raisonnement des assureurs-accidents et de prévoyance professionnelle, en prenant en compte le salaire effectivement réalisé au moment de l’accident, ne prête pas le flanc à la critique, force est de constater qu’aucun calcul précis n’est présent au dossier, permettant d’appréhender le cheminement effectué afin d’arrêter la somme de 105'000 fr., respectivement de 108'929 fr., comme revenu sans invalidité. Au regard des pièces utiles présentes au dossier (contrats de travail, attestations des employeurs, questionnaires soumis aux employeurs, extrait de compte individuel AVS), lesquelles s’imposent à l’OAI, la situation salariale de l’assuré au moment de son accident peut se résumer comme suit : 1) G.________ était employé au Foyer de jour [...] pour un salaire annuel de 63'385 fr. en 2005, dernière année entière effectuée auprès de cet employeur.</w:t>
      </w:r>
    </w:p>
    <w:p>
      <w:r>
        <w:t>- 16 - 2) Entre le mois de juillet 2006 et le 14 octobre 2006, date de l’accident, l’assuré a réalisé un montant total de 8'515 fr. brut auprès de l’Hôtel [...]. Sur une année, cela représente un gain annuel de 29'194 fr. 30. 3) Durant cette même période, le recourant a réalisé un montant total de 2'570 fr. brut auprès de B.________ SA, représentant annuellement un gain de 8'811 fr. 40. Compte tenu de ce qui précède, entre le mois de juillet 2006 et le 14 octobre 2006, le recourant réalisait l’équivalent annuel de 101'295 fr. 70. Ce montant, indexé à l’année 2016, date de la décision litigieuse, s’élève à 112'645.50 francs. Au regard du revenu d’invalide supputé de 32'816 fr., lequel n’est pas contesté, ces montants laissent déjà apparaître un préjudice économique excédant le taux de 70% et ouvre le droit à une rente entière. Celle-ci sera donc servie au recourant, sous déduction des indemnités journalières perçues au cours des périodes des mesures professionnelles entreprises, et sous réserve du cas d’application des règles proscrivant la surindemnisation.</w:t>
      </w:r>
    </w:p>
    <w:p>
      <w:r>
        <w:rPr>
          <w:b/>
        </w:rPr>
        <w:t>E. 7</w:t>
      </w:r>
    </w:p>
    <w:p>
      <w:r>
        <w:t>a) Des considérants qui précèdent, il résulte que, bien fondé, le recours doit être admis et la décision attaquée réformée en ce sens que le droit à une rente entière reste maintenu – tel que reconnu par décision du 30 novembre 2009 – ceci nonobstant la procédure de révision d’office initiée en 2010. La cause est au surplus renvoyée à l’intimé, pour le calcul des prestations à servir à l’intéressé. b) En dérogation à l'art. 61 let. a LPGA, la procédure de recours en matière de contestations portant sur l'octroi ou le refus de prestations de l'AI devant le tribunal cantonal des assurances est soumise à des frais judiciaires (art. 69 al. 1bis LAI). En l’espèce, compte tenu de</w:t>
      </w:r>
    </w:p>
    <w:p>
      <w:r>
        <w:t>- 17 - l’ampleur de la procédure, les frais de justice doivent être arrêtés à 400 fr. et mis à la charge de l’intimé (art. 69 al. 1bis LAI ; 49 al. 1 LPA-VD). c) Obtenant gain de cause, le recourant a droit à des dépens, fixés à 2'000 fr. afin de tenir compte de la complexité et de la durée de la procédure, et sont mis à la charge de l’intimé, qui succombe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