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ZD16.031447 vom 29. August 2017</w:t>
      </w:r>
    </w:p>
    <w:p>
      <w:r>
        <w:t>VD Tribunal cantonal, 2017-08-29, FR</w:t>
      </w:r>
    </w:p>
    <w:p>
      <w:r>
        <w:rPr>
          <w:b/>
        </w:rPr>
        <w:t xml:space="preserve">Quelle: </w:t>
      </w:r>
      <w:r>
        <w:t>https://mcp.opencaselaw.ch/entscheid/vd_gerichte_ZD16.031447</w:t>
      </w:r>
    </w:p>
    <w:p>
      <w:r>
        <w:t>FR: VD_GERICHTE ZD16.031447 du 29 août 2017</w:t>
      </w:r>
    </w:p>
    <w:p>
      <w:r>
        <w:t>IT: VD_GERICHTE ZD16.031447 del 29 agosto 2017</w:t>
      </w:r>
    </w:p>
    <w:p>
      <w:pPr>
        <w:pStyle w:val="Heading2"/>
      </w:pPr>
      <w:r>
        <w:t>Erwägungen</w:t>
      </w:r>
    </w:p>
    <w:p>
      <w:r>
        <w:rPr>
          <w:b/>
        </w:rPr>
        <w:t>E. 20</w:t>
      </w:r>
    </w:p>
    <w:p>
      <w:r>
        <w:t>% dès le 1er janvier 2015, ce taux étant insuffisant pour justifier l’octroi d’une rente d’invalidité même partielle. Comme il l’a été exposé supra consid. 6, c’est à bon droit que l’intimé a retenu une amélioration de l’état de santé de l’intéressée à compter de cette date. Compte tenu de ce qui précède, la recourante a effectivement droit à un quart de rente d’invalidité à compter du 1er novembre 2013 et ce jusqu’au 31 mars 2015, soit trois mois après la date à partir de laquelle</w:t>
      </w:r>
    </w:p>
    <w:p>
      <w:r>
        <w:t>- 36 - elle a recouvré une capacité de travail suffisante (art. 88a al. 1 RAI). La décision querellée doit ainsi être confirmée ce point également. 9. a) Au vu de ce qui précède, le recours, mal fondé, doit être rejeté, ce qui entraîne la confirmation de la décision rendue par l’OAI le 8 juin 2016. b) En dérogation à l’art. 61 let. a LPGA, la procédure en matière de contestations portant sur l’octroi et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Lorsqu’une partie a été mise au bénéfice de l’assistance judiciaire, les frais judiciaires, ainsi qu’une indemnité équitable au conseil juridique désigné d’office pour la procédure, sont supportés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w:t>
      </w:r>
    </w:p>
    <w:p>
      <w:r>
        <w:t>- 37 - En outre, n’obtenant pas gain de cause, la recourante ne peut pas prétendre à l’allocation de dépens en sa faveur (art. 61 let. g LPGA ; art. 55 al. 1 LPA-VD, applicable par renvoi des art. 91 et 99 LPA-VD). S’agissant enfin du montant de l’indemnité du conseil d’office, Me Gruber a produit une liste des opérations par courrier du 30 août 2017, faisant état d’un total de dix heures de travail consacrées au dossier et de débours à hauteur de 50 francs. Contrôlées au regard de la procédure, ces opérations rentrent globalement dans le cadre d’un bon accomplissement du mandat. Il convient dès lors d'arrêter à 1’800 fr. l'indemnité de Me Gruber, correspondant à dix heures de travail à un tarif horaire de 180 fr., somme à laquelle s'ajoutent les débours par 50 fr. et la TVA au taux de 8 %. Cela représente un montant total de 1’998 fr. (1'800 fr. + 50 fr. + 148 fr.) pour l'ensemble de l'activité déployée dans la présente cause.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