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ZD16.031435 vom 15. März 2018</w:t>
      </w:r>
    </w:p>
    <w:p>
      <w:r>
        <w:t>VD Tribunal cantonal, 2018-03-15, FR</w:t>
      </w:r>
    </w:p>
    <w:p>
      <w:r>
        <w:rPr>
          <w:b/>
        </w:rPr>
        <w:t xml:space="preserve">Quelle: </w:t>
      </w:r>
      <w:r>
        <w:t>https://mcp.opencaselaw.ch/entscheid/vd_gerichte_ZD16.031435</w:t>
      </w:r>
    </w:p>
    <w:p>
      <w:r>
        <w:t>FR: VD_GERICHTE ZD16.031435 du 15 mars 2018</w:t>
      </w:r>
    </w:p>
    <w:p>
      <w:r>
        <w:t>IT: VD_GERICHTE ZD16.031435 del 15 marzo 2018</w:t>
      </w:r>
    </w:p>
    <w:p>
      <w:pPr>
        <w:pStyle w:val="Heading2"/>
      </w:pPr>
      <w:r>
        <w:t>Erwägungen</w:t>
      </w:r>
    </w:p>
    <w:p>
      <w:r>
        <w:rPr>
          <w:b/>
        </w:rPr>
        <w:t>E. 1</w:t>
      </w:r>
    </w:p>
    <w:p>
      <w:r>
        <w:t>a) Sous réserve de dérogations expresses, les dispositions de la LPGA (loi fédérale du 6 octobre 2000 sur la partie générale du droit des</w:t>
      </w:r>
    </w:p>
    <w:p>
      <w:r>
        <w:t>- 9 -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sur le droit de la recourante à une allocation pour impotent.</w:t>
      </w:r>
    </w:p>
    <w:p>
      <w:r>
        <w:t>- 10 -</w:t>
      </w:r>
    </w:p>
    <w:p>
      <w:r>
        <w:rPr>
          <w:b/>
        </w:rPr>
        <w:t>E. 3</w:t>
      </w:r>
    </w:p>
    <w:p>
      <w:r>
        <w:t>a) Est réputée impotente toute personne qui, en raison d’une atteinte à sa santé, a besoin de façon permanente de l’aide d’autrui ou d’une surveillance personnelle pour accomplir des actes élémentaires de la vie quotidienne (art. 9 LPGA). Selon l'art. 42 al. 1 LAI, les assurés impotents (art. 9 LPGA) qui ont leur domicile et leur résidence habituelle (art. 13 LPGA) en Suisse ont droit à une allocation pour impotent. L'impotence peut être grave, moyenne ou faible (art. 42 al. 2 LAI).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(art. 42 al. 3 LAI). b) L’art. 37 al. 1 RAI (règlement du 17 janvier 1961 sur l’assurance-invalidité ; RS 831.201) dispose que l’impotence est grave lorsque l’assuré est entièrement impotent ; tel est le cas s’il a besoin d’une aide régulière et importante d’autrui pour tous les actes ordinaires de la vie et que son état nécessite, en outre, des soins permanents ou une surveillance personnelle. Aux termes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w:t>
      </w:r>
    </w:p>
    <w:p>
      <w:r>
        <w:t>- 11 - L’art. 37 al. 3 RAI précise que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Selon l’art. 38 al. 1 RAI,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Selon l’art. 38 al. 3 in initio RAI, n’est pris en considération que l’accompagnement qui est régulièrement nécessaire et lié aux situations mentionnées à l’al. 1. c) Selon une jurisprudence constante (ATF 127 V 94 consid. 3c ; ATF 125 V 297 consid. 4a et les références citées), ainsi que selon les chiffres 8010 et suivants de la Circulaire sur l’invalidité et l’impotence dans l’assurance-invalidité (CIIAI ; valable à partir du 1er janvier 2015, état au 1er mars 2016), édictée par l’Office fédéral des assurances sociales</w:t>
      </w:r>
    </w:p>
    <w:p>
      <w:r>
        <w:t>- 12 -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Le point de savoir si l’aide est importante est une question de droit (ATF 107 V 136 consid. 2b).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 RCC 1982 p. 126 ; ch. 8026 CIIAI).</w:t>
      </w:r>
    </w:p>
    <w:p>
      <w:r>
        <w:t>- 13 - L’aide est ainsi réputée importante, par exemple lorsque l’assuré peut certes manger seul, mais ne peut couper ses aliments lui- même, ou lorsqu’il peut les porter à sa bouche, seulement avec les doigts (ATF 106 V 153 consid. 2b) ou lorsqu’il ne peut pas lui-même mettre ou enlever une pièce d’habillement indispensable ou une prothèse (ch. 8014 CIIAI). Tel est également le cas lorsque l’assuré ne peut se laver tout seul, ou se peigner, ou se raser, ou prendre un bain ou une douche (TFA I 35/88 du 12 décembre 1988 consid. 1b, in RCC 1989 p. 229, I 25/85 du 11 juin 1985 consid. 1b, in RCC 1986 p. 508 et I 410/84 du 23 avril 1985 consid. 1a, in RCCC 1986 p. 512). Si l’accomplissement d’un acte ordinaire est seulement rendu plus difficile ou ralenti par l’infirmité, cela ne signifie pas qu’il y a une impotence (TFA I 25/85 consid. 11 juin 1985 consid. 2b in RCC 1986 p. 509). d) L’accompagnement pour faire face aux nécessités de la vie doit permettre à la personne concernée de vivre de manière indépendante sans l’accompagnement d’une tierce personne, c’est-à-dire gérer elle- même sa vie quotidienne. Il intervient lorsque la personne nécessite de l’aide pour au moins l’une des activités suivantes : structurer sa journée ou faire face aux situations qui se présentent tous les jours (p. ex. problèmes de voisinage, questions de santé, d’alimentation et d’hygiène, activités administratives simples) (ch. 8050 CIIAI ; voir également TF 9C_539/2017 du 28 novembre 2017 ; aide directe ou indirecte d’un tiers ; ATF 133 V 450 consid. 10 ; TF 9C_425/2014 du 26 septembre 2014, consid. 4.1). L’aide pour structurer la journée comprend par exemple l’invitation à se lever, l’aide pour fixer des heures de repas et les respecter, l’observation d’un rythme entre jour et nuit, la pratique d’une activité, etc. Le soutien pour faire face aux situations qui se présentent tous les jours comprend aussi des instructions, des invitations à agir, etc. En matière d’hygiène, par exemple, on rappelle à l’assuré de se doucher. Mais si l’assuré a besoin d’aide directe pour se doucher, cette aide sera comprise sous l’acte ordinaire de la vie « faire sa toilette » et non dans l’accompagnement pour faire face aux nécessité de la vie (ch. 8050 CIIAI).</w:t>
      </w:r>
    </w:p>
    <w:p>
      <w:r>
        <w:t>- 14 - Un besoin d’aide dans le ménage peut être reconnu en plus si l’assuré a besoin d’aide ou de soutien pour au moins un des actes visés au ch. 8050. Le besoin d’aide dans le ménage ne peut donc être pris en compte que cumulativement (ch. 8050.1 CIIAI). L’accompagnement pour faire face aux nécessités de la vie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9C_441/2012 du 31 août 2012 consid. 5.3.1 ; TF 9C_907/2011 du 21 mai 2012 consid. 2 et les références citées). L'accompagnement est régulier lorsqu'il est nécessité en moyenne au moins deux heures par semaine sur une période de trois mois (ch. 8053 CIIAI). Le Tribunal fédéral a reconnu que cette notion de régularité était justifiée d’un point de vue matériel et partant conforme aux dispositions légales et réglementaires (ATF 133 V 450 consid. 6.2). Selon la jurisprudence, la nécessité de l’aide d’une tierce personne doit être examinée de manière objective, en se fondant sur l’état de santé de la personne assurée, si bien qu’il s’agit de trancher le point de savoir si, dans la situation où elle ne dépendrait que d’elle-même, elle aurait besoin de l’aide d’un tiers. L’environnement dans lequel l’assuré se trouve n’est donc, en principe, pas déterminant. L’assistance qu’apportent concrètement les membres de la famille à l’assurée a trait à l’obligation de diminuer le dommage, soit une circonstance qui ne doit être examinée que dans une seconde étape (TF 9C_425/2014 du 26 septembre 2014 consid. 4.2 et TF 9C_410/2009 du 1er avril 2009 consid. 5.1). e) On rappellera que dans le domaine de l’assurance- invalidité, on applique de manière générale le principe selon lequel un invalide doit, avant de requérir des prestations, entreprendre de son</w:t>
      </w:r>
    </w:p>
    <w:p>
      <w:r>
        <w:t>- 15 - propre chef tout ce qu’on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 voir aussi ATF 138 I 205 consid. 3.2).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Selon les circonstances, le maintien ou le déplacement d’un domicile, respectivement le lieu de travail, peut apparaître comme étant une mesure exigible de l’assuré.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138 I 205 consid. 3.3 et les références citées ; TF 9C_293/2016 du 18 juillet 2016 consid. 3.2.2 ; TF 9C_916/2010 du 20 juin</w:t>
      </w:r>
    </w:p>
    <w:p>
      <w:r>
        <w:t>- 16 - 2011 consid. 3.3 ; TF 8C_48/2010 du 20 septembre 2010 consid. 4 ; TF 9C_661/2016 du 19 avril 2017 consid. 2.3 ; TF 9C_40/2017 du 2 juin 2017, consid. 2.3)]. f) Il sied enfin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w:t>
      </w:r>
    </w:p>
    <w:p>
      <w:r>
        <w:rPr>
          <w:b/>
        </w:rPr>
        <w:t>E. 4</w:t>
      </w:r>
    </w:p>
    <w:p>
      <w:r>
        <w:t>a) En l’espèce, le rapport d’enquête du 26 février 2016 retient que la recourante a besoin d’aide pour l’acte « manger » et plus particulièrement pour couper les aliments. L’enquêtrice a en revanche retenu que les autres actes ordinaires de la vie ne nécessitaient pas d’aide et qu’il n’existait pas non plus de besoin d’accompagnement pour faire face aux nécessités de la vie. La recourante soutient que le rapport d’enquête n’a pas de valeur probante car il est en contradiction avec les indications de sa demande d’allocation, d’une part, et les conclusions du Dr P.________, d’autre part. Les arguments de la recourante ne sauraient toutefois emporter la conviction. En effet, si le rapport d’enquête effectuée au domicile de la recourante ne retient pas les besoins d’aide inscrits par celle-ci dans sa</w:t>
      </w:r>
    </w:p>
    <w:p>
      <w:r>
        <w:t>- 17 - demande d’allocation – à l’exception de l’acte de couper ses aliments –, il tient compte de ses indications et les discute. C’est ainsi que s’agissant de l’acte de se vêtir, aucun besoin d’aide n’a été retenu car il a été constaté que la recourante était autonome pour ce faire si elle choisissait de porter des habits élastiques sans bouton et des chaussures sans lacet et qu’elle n’avait pas de problème pour mettre un soutien-gorge de sport. Quant au besoin d’aide pour faire sa toilette, l’enquêtrice ne l’a pas retenu dès lors que l’assurée n’a pas de problème pour se laver le corps et que les difficultés inhérentes à ses longs cheveux (lavage et coiffage) pourraient être réduites si l’intéressée adoptait une coupe plus courte. A cet égard, il convient de se rallier à la position de l’OAI, en retenant qu’il est parfaitement admissible de demander à la recourante d’opter pour une coupe de cheveux plus adaptée à son handicap, eu égard à son obligation de diminution le dommage. De plus, le fait que se coiffer soit rendu difficile en raison de cheveux longs ne constitue pas une impotence (RCC 1989 consid. 2b p. 230). S’agissant de l’acte « tenir son ménage/faire son lit/la vaisselle » – que la recourante reproche à l’OAI de ne pas avoir pris en considération – force est de constater qu’ils ne font pas partie des actes ordinaires de la vie. Enfin, si le rapport d’enquête a retenu qu’une aide était nécessaire pour l’acte de manger, celui-ci n’englobe toutefois pas celui de cuisiner ou de faire la vaisselle. Il faut ainsi retenir, à l’instar de l’OAI, que la recourante n’a pas besoin d’aide pour au moins deux actes ordinaires de la vie. b) Le rapport d’enquête retient encore, contrairement à ce que soutient la recourante, que celle-ci n’a pas régulièrement besoin d’un accompagnement durable pour faire face aux nécessités de la vie. A cet</w:t>
      </w:r>
    </w:p>
    <w:p>
      <w:r>
        <w:t>- 18 - égard, l’enquêtrice a tenu compte des indications fournies par l’assurée, à savoir qu’elle n’arrivait pas à faire son ménage, ni à préparer ses repas avec un bras, sa maman lui apportant l’aide à la maison et dans son studio. Cela étant, un besoin d’aide dans le ménage – même s’il devait être admis dans les circonstances du cas particulier – ne peut pas être retenu sans autre besoin d’accompagnement pour faire face aux nécessités de la vie. Or, force est de constater que l’assurée n’a pas besoin d’aide pour structurer sa journée ni pour faire face aux situations qui se présentent tous les jours. En effet, l’assurée est à même de vivre de manière indépendante à son domicile et ne serait pas contrainte d’être placée dans un home en l’absence de l’aide apportée par ses proches. En outre, et comme relevé dans le rapport d’enquête du 26 février 2016, les conseils d’un ergothérapeute pourraient aider la recourante à développer une meilleure autonomie dans sa vie quotidienne. En effet, la main droite est valide et la main gauche qui présente une malformation peut être utilisée. Il lui serait ainsi tout à fait possible d’apprendre notamment à cuisiner avec une seule main, afin de gagner en indépendance et ne plus dépendre autant de l’aide de sa mère. c) Au vu de l’ensemble de ces éléments, force est de constater que les conclusions du rapport d’enquête ne sont pas critiquables dès lors qu’elles ont été motivées de façon suffisamment détaillée en tenant compte des indications de l’intéressée. Il y a donc lieu de retenir qu’au moment déterminant, soit lors de la décision litigieuse, la recourante ne remplissait aucune des conditions alternatives prévues par l’art. 37 al. 3 RAI pour se voir reconnaître une impotence faible, si bien qu’elle ne peut pas prétendre à une allocation pour impotent. Le rapport du Dr P.________ du 3 octobre 2016 n’apporte aucun élément permettant de faire un autre constat.</w:t>
      </w:r>
    </w:p>
    <w:p>
      <w:r>
        <w:rPr>
          <w:b/>
        </w:rPr>
        <w:t>E. 5</w:t>
      </w:r>
    </w:p>
    <w:p>
      <w:r>
        <w:t>Vu l’issue de la procédure, la mise en œuvre des mesures d’instruction complémentaires requises par la recourante – en particulier l’audition de témoins – n’apparaît pas de nature à apporter un éclairage différent des éléments retenus ci-dessus et peut dès lors être écartée par</w:t>
      </w:r>
    </w:p>
    <w:p>
      <w:r>
        <w:t>- 19 - appréciation anticipée des preuves (ATF 137 III 208 consid. 2.2 ; ATF 135 II 286 consid. 5.1).</w:t>
      </w:r>
    </w:p>
    <w:p>
      <w:r>
        <w:rPr>
          <w:b/>
        </w:rPr>
        <w:t>E. 6</w:t>
      </w:r>
    </w:p>
    <w:p>
      <w:r>
        <w:t>a) Compte tenu de ce qui précède,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Conformément à l’art. 2 al. 1 RAJ (règlement cantonal vaudois du 7 décembre 2010 sur l’assistance judiciaire en matière civile ; RSV 211.02.3), le conseil juridique commis d’office a droit au remboursement de ses débours et à un défraiement équitable, qui est fixé en considération de l’importance de la cause, de ses difficultés, de l’ampleur du travail et</w:t>
      </w:r>
    </w:p>
    <w:p>
      <w:r>
        <w:t>- 20 - du temps qu’il y a consacré ; le juge apprécie l’étendue des opérations nécessaires pour la conduite du procès. c) En l’espèce, compte tenu de l’ampleur de la procédure, les frais de justice doivent être arrêtés à 400 fr. et devraient être mis à la charge de la recourante, qui succombe. Toutefois, dès lors cette dernière est au bénéfice de l’assistance judiciaire, ces frais sont provisoirement laissés à la charge de l’Etat. Il n’y a pour le surplus pas lieu d’allouer de dépens, la recourante n’obtenant pas gain de cause (art. 55 al. 1 LPA-VD et 61 let. g LPGA). La recourante bénéficie en outre, au titre de l’assistance judiciaire, de la commission d’office d’un avocat, en la personne de Me Jean de Gautard (art. 118 al. 1 let. c CPC, applicable par renvoi de l'art. 18 al. 5 LPA-VD). Ce dernier a déposé sa liste des opérations pour la période du 4 juillet 2016 au 1er novembre 2017 faisant état d’un total de 538 minutes, soit de 8 heures et 58 minutes (et non 9h35 comme indiqué par Me de Gautard). Contrôlées au regard de la procédure, les opérations effectuées rentrent globalement dans le cadre de l’accomplissement du mandat confié. Conformément au tarif horaire applicable, le défraiement équitable de Me de Gautard doit ainsi être fixé à 8 heures et 58 minutes à 180 fr (art. 2 al. 1 let. RAJ), soit 1’614 fr., auxquels doivent être ajoutés les débours fixés forfaitairement à 100 francs (art. 3 al. 3 RAJ) et la TVA au taux de 8% par 137 fr. 10. Le montant total de l’indemnité d’office en faveur de Me de Gautard s’élève ainsi à 1851 fr. 10 et sera provisoirement supportée par le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