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ZD16.030373 vom 19. Februar 2018</w:t>
      </w:r>
    </w:p>
    <w:p>
      <w:r>
        <w:t>VD Tribunal cantonal, 2018-02-19, FR</w:t>
      </w:r>
    </w:p>
    <w:p>
      <w:r>
        <w:rPr>
          <w:b/>
        </w:rPr>
        <w:t xml:space="preserve">Quelle: </w:t>
      </w:r>
      <w:r>
        <w:t>https://mcp.opencaselaw.ch/entscheid/vd_gerichte_ZD16.030373</w:t>
      </w:r>
    </w:p>
    <w:p>
      <w:r>
        <w:t>FR: VD_GERICHTE ZD16.030373 du 19 février 2018</w:t>
      </w:r>
    </w:p>
    <w:p>
      <w:r>
        <w:t>IT: VD_GERICHTE ZD16.030373 del 19 febbraio 2018</w:t>
      </w:r>
    </w:p>
    <w:p>
      <w:pPr>
        <w:pStyle w:val="Heading2"/>
      </w:pPr>
      <w:r>
        <w:t>Erwägungen</w:t>
      </w:r>
    </w:p>
    <w:p>
      <w:r>
        <w:rPr>
          <w:b/>
        </w:rPr>
        <w:t>E. 9</w:t>
      </w:r>
    </w:p>
    <w:p>
      <w:r>
        <w:t>Cela étant, un complément d'instruction apparaît inutile et la requête formulée en ce sens par la recourante doit dès lors être rejetée.</w:t>
      </w:r>
    </w:p>
    <w:p>
      <w:r>
        <w:t>- 28 -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II 425 consid. 2).</w:t>
      </w:r>
    </w:p>
    <w:p>
      <w:r>
        <w:rPr>
          <w:b/>
        </w:rPr>
        <w:t>E. 10</w:t>
      </w:r>
    </w:p>
    <w:p>
      <w:r>
        <w:t>Toutefois, il convient de constater que l’office intimé n’a pas concrètement examiné la question de l’octroi éventuel de mesures de réadaptation. a) Or,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9C_920/2013 du 20 mai 2014 consid. 4.4 et les références citées ; TF 9C_800/2014 du 31 janvier 2015 ; TF 9C_517/2016 du 7 mars 2017 consid. 5.2 avec les références).</w:t>
      </w:r>
    </w:p>
    <w:p>
      <w:r>
        <w:t>- 29 - b) En l’espèce, dès lors que la recourante a bénéficié d’une rente d’invalidité durant plus de quinze ans (du 1er avril 1999 au 2 juin 2016) et qu’elle était âgée de 56 ans révolus au moment de la décision de suppression, elle appartient à cette catégorie d’assurés dont il convient de présumer qu’ils ne peuvent en principe pas entreprendre de leur propre chef tout ce que l’on peut raisonnablement attendre d’eux pour tirer profit de leur capacité résiduelle de travail. Il ressort toutefois du dossier que l’office intimé n’a pas examiné la question de l’octroi éventuel de mesures d’accompagnement à la réintégration professionnelle. Or, en l’état, il n’apparaît guère concevable que la recourante puisse, compte tenu de son éloignement prolongé du marché du travail, reprendre du jour au lendemain une activité lucrative sans que des mesures destinées à l’aider à se réinsérer dans le monde du travail ne soient mises préalablement en œuvre. Il convient par conséquent de renvoyer le dossier à l’intimé afin qu’il examine concrètement les besoins objectifs de la recourante à cet égard. Ce n’est qu’à l’issue de cet examen et de la mise en œuvre d’éventuelles mesures de réintégration sur le marché du travail que l’office intimé pourra définitivement statuer sur la révision de la rente d’invalidité et, le cas échéant, supprimer le droit à la rente (TF 9C_163/2009 du 10 septembre 2010 consid. 4.1.1 et les références citées). La recourante peut ainsi prétendre à la poursuite du versement de sa rente entière d’invalidité durant le temps nécessaire à l’examen du droit à des mesures d’ordre professionnel par l’intimé (TF 9C_920/2013 du 20 mai 2014 consid. 4.5 et les références citées).</w:t>
      </w:r>
    </w:p>
    <w:p>
      <w:r>
        <w:rPr>
          <w:b/>
        </w:rPr>
        <w:t>E. 11</w:t>
      </w:r>
    </w:p>
    <w:p>
      <w:r>
        <w:t>a) Au vu de ce qui précède et dans la mesure où la recourante a conclu principalement à l’allocation d’une rente entière de l’assurance- invalidité, son recours doit être admis. La décision attaquée est annulée, la cause étant renvoyée à l’intimé pour complément d’instruction au sens des considérants puis nouvelle décision.</w:t>
      </w:r>
    </w:p>
    <w:p>
      <w:r>
        <w:t>- 30 - b) En dérogation à l’art. 61 let. a LPGA, la procédure de recours en matière de contestations portant sur l’octroi ou le refus de prestations de l’Al devant le Tribunal cantonal des assurances est soumise à des frais judiciaires (art. 69 al. 1bis LAI). En l’espèce, il convient d’arrêter les frais judiciaires à 400 fr. à la charge de l’intimé débouté. c) La recourante, qui obtient gain de cause en étant représentée par un mandataire professionnel, a droit à des dépens (art. 55 LPA-VD, applicable sur renvoi de l’art. 99 al. 1 LPA-VD), dont le montant doit être déterminé d’après l’importance et la complexité du litige, sans égard à la valeur litigieuse, et sont en règle générale compris entre 500 et 10'000 francs (art. 61 let. g LPGA et art. 11 TFJDA [tarif des frais judiciaires et des dépens en matière administrative du 28 avril 2015 ; RSV 173.36.5.1]). En l’espèce, Me Pfeiffer a produit sa note d’honoraires le 22 janvier 2018 faisant état d’un total de 15h48 à 180 fr. de l’heure, soit un montant total de 3'070 fr. 95, TVA comprise. Contrôlées au regard de la procédure, les opérations effectuées rentrent globalement dans le cadre de l’accomplissement du mandat confié. Le montant des dépens sera mis à la charge de l’intimé qui succombe (art. 61 let. g LPGA ; art. 55 LPA-VD, applicable par renvoi des art. 91 et 99 LPA-VD). d) Lorsqu’une partie a été mise au bénéfice de l’assistance judiciaire, une équitable indemnité au conseil juridique désigné d’office pour la procédure est supportée par le canton (art. 122 al. 1 let. a et b CPC [code de procédure civile du 19 décembre 2008 ; RS 272], applicable par renvoi de l’art. 18 al. 5 LPA-VD). Le défenseur d’office a droit au remboursement de ses débours et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211.02.03]).</w:t>
      </w:r>
    </w:p>
    <w:p>
      <w:r>
        <w:t>- 31 - En l’occurrence, le montant des dépens arrêté ci-dessus correspond à ce qui aurait été alloué au titre de l’assistance judiciaire. Partant, il n’y a pas lieu de fixer plus précisément l’indemnité d’office du conseil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