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ZD16.028499 vom 6. November 2017</w:t>
      </w:r>
    </w:p>
    <w:p>
      <w:r>
        <w:t>VD Tribunal cantonal, 2017-11-06, FR</w:t>
      </w:r>
    </w:p>
    <w:p>
      <w:r>
        <w:rPr>
          <w:b/>
        </w:rPr>
        <w:t xml:space="preserve">Quelle: </w:t>
      </w:r>
      <w:r>
        <w:t>https://mcp.opencaselaw.ch/entscheid/vd_gerichte_ZD16.028499</w:t>
      </w:r>
    </w:p>
    <w:p>
      <w:r>
        <w:t>FR: VD_GERICHTE ZD16.028499 du 6 novembre 2017</w:t>
      </w:r>
    </w:p>
    <w:p>
      <w:r>
        <w:t>IT: VD_GERICHTE ZD16.028499 del 6 novembre 2017</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al. 1 LAI [loi fédérale du 19 juin</w:t>
      </w:r>
    </w:p>
    <w:p>
      <w:r>
        <w:t>- 16 - 1959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le recours a été formé en temps utile devant le tribunal compétent et dans le respect des conditions de formes prévues par la loi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Le recourant ne conteste pas la décision litigieuse en ce qu’elle concerne le droit à une rente entière du 1er août 2012 jusqu’au 31 janvier 2013. Il n’y a pas lieu d’examiner plus avant cet aspect de la décision entreprise, qui ne prête pas flanc à la critique. On relèvera à cet égard que le droit à la rente prend naissance au plus tôt à l'échéance d'une période de six mois à compter de la date à laquelle l'assuré a fait valoir son droit aux prestations (art. 29 al. 1 LAI). S’il veut préserver tous</w:t>
      </w:r>
    </w:p>
    <w:p>
      <w:r>
        <w:t>- 17 - ses droits, l’assuré doit ainsi déposer une demande à l’AI au tard six mois après la survenance de son incapacité de gain. S’il le fait plus tard, il perd son droit pour chaque mois de retard (Michel Valterio, Droit de l’assurance- vieillesse et survivants (AVS) et de l’assurance-invalidité (AI), Schulthess 2011, p. 538 no 2190). Dans le cas d’espèce, l’assuré a présenté une incapacité de travail d’au moins 40% dès le jour de son accident, soit le 21 février 2011. Dès lors qu’il n’a déposé sa demande de prestations auprès de l’OAI que le 26 janvier 2012, son droit à une rente ne peut prendre effet qu’au 1er août 2012. Le recourant conteste en revanche le refus de rente pour la période dès le 1er février 2013. Est ainsi singulièrement litigieuse la question de savoir s’il a présenté, dès le 1er novembre 2012 (cf. l’art. 88a al. 1 RAI [règlement du 17 janvier 1961 sur l'assurance-invalidité ; RS 831.201], cf. consid. 3b infra), une amélioration durable de son état de santé, de nature à réviser la rente octroyée jusqu’alors, dans le sens de sa suppression.</w:t>
      </w:r>
    </w:p>
    <w:p>
      <w:r>
        <w:rPr>
          <w:b/>
        </w:rPr>
        <w:t>E. 3</w:t>
      </w:r>
    </w:p>
    <w:p>
      <w:r>
        <w:t>a) Est réputée invalidité l'incapacité de gain totale ou partielle qui est présumée permanente ou de longue durée, résultant d'une infirmité congénitale, d'une maladie ou d'un accident (cf. art. 8 al. 1 LPGA et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- 18 -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ne soit à craindre.</w:t>
      </w:r>
    </w:p>
    <w:p>
      <w:r>
        <w:rPr>
          <w:b/>
        </w:rPr>
        <w:t>E. 4</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w:t>
      </w:r>
    </w:p>
    <w:p>
      <w:r>
        <w:t>- 19 -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w:t>
      </w:r>
    </w:p>
    <w:p>
      <w:r>
        <w:t>- 20 - la jurisprudence, qui sont posées à une expertise médicale (TF 9C_500/2011 du 26 mars 2012 consid. 3.1 ; 9C_28/2011 du</w:t>
      </w:r>
    </w:p>
    <w:p>
      <w:r>
        <w:rPr>
          <w:b/>
        </w:rPr>
        <w:t>E. 6</w:t>
      </w:r>
    </w:p>
    <w:p>
      <w:r>
        <w:t>Sur le plan économique,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Le moment déterminant pour la comparaison des revenus est l’année de l’ouverture du droit éventuel à la rente (ou de sa révision), soit en l’occurrence 2012 (cf. consid. 3a supra).</w:t>
      </w:r>
    </w:p>
    <w:p>
      <w:r>
        <w:t>- 33 - a) Le revenu sans invalidité doit être déterminé en établissant au degré de la vraisemblance prépondérante ce que l’assuré aurait effectivement pu réaliser au moment déterminant, en l’occurrence 2014,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Selon le rapport de l’employeur du 13 février 2012, le salaire mensuel de l’assuré au 1er janvier 2012 s’élevait à 5'446 fr. 50. Le revenu sans invalidité déterminant pour 2012 est ainsi de 70'804 fr. 50 (13ème salaire compris, selon l’art. 19 de la Convention collective de travail du second-œuvre romand), comme retenu à juste titre par l’intimé. b) S’agissant du revenu d’invalide, l'OAI s’est à juste titre fondé sur l’Enquête sur la structure des salaires (ESS). En l'absence d'activité effectivement exercée par l'assuré dans une activité adaptée raisonnablement exigible, la jurisprudence admet de s’y référer (ATF 129 V 472 consid. 4.2.1 ; 126 V 76 consid. 3a/bb ; 124 V 323 consid. 3b/bb ; TF 9C_900/2009 du 27 avril 2010 consid. 3.3).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135 V 297 consid. 5.2 in fine, 134 V 322 consid. 5.2 et 126 V 75 consid. 5b/aa-cc).</w:t>
      </w:r>
    </w:p>
    <w:p>
      <w:r>
        <w:t>- 34 - Vu l’évaluation de l’invalidité de l’assuré à dater de l’année 2012, il y a lieu de se référer à l’ESS de cette même année (cf. ATF 128 V 174 consid. 4a), et non l’ESS de 2010, comme le fait le recourant. C’est également à tort que l’assuré a adapté le salaire de référence selon l’évolution des salaires nominaux jusqu’en 2015, l’année déterminante pour la comparaison des revenus étant 2012. Selon l’ESS 2012, le salaire médian des hommes occupés à des tâches physiques ou manuelles simples dans le secteur privé est de 5’210 fr. (ESS 2012, TA1, niveau de qualification 1). Comme les salaires bruts standardisés tiennent compte d’un horaire de travail de quarante heures, soit une durée hebdomadaire inférieure à la moyenne usuelle dans les entreprises en 2012 (41,7 heures ; cf. OFS / La Vie économique, n°1/2-2014, tableau B 9.2), le revenu mensuel adaptation s’élève à 5'431 fr. 40, soit 65'177 fr. 10 annuellement. Il n’y a pas lieu de réduire ce salaire de 25% comme le soutient le recourant, l’exigibilité dans une activité adaptée étant entière. L’intimé a retenu un taux d’abattement de 10% pour tenir compte des limitations fonctionnelles affectant le recourant, ainsi que de son âge. Cette appréciation n’est pas critiquable, dès lors qu’elle tient correctement compte de l’ensemble des circonstances personnelles de l’intéressé. Le recourant ne convainc pas lorsqu’il soutient que sa situation justifie une réduction de 15%. En particulier, le fait qu’il n’ait pas de formation professionnelle achevée ne fait pas partie des critères déterminants justifiant une réduction du revenu de référence. Comme relevé par l’intimé, les salaires fixés par l’ESS pour les activités professionnelles de niveau de qualification 1 (tâches manuelles ou physiques simples) recouvrent précisément des activités ne nécessitant aucune formation spécifique. L’obésité alléguée par le recourant ne justifie pas non plus un abattement supplémentaire. D’une part, le Dr O.________ a posé le diagnostic de pré-obésité, et non d’obésité. Le Dr B.________ s’est quant à lui limité à signaler un excès pondéral, sans qualification aggravante. D’autre part, et en tout état de cause, le surpoids du recourant reste modéré et ne justifie ni une réduction de la capacité de travail, ni un abattement sur le revenu d’invalide. On relèvera à cet égard que le recourant fait valoir que ce surpoids est de nature à restreindre ses</w:t>
      </w:r>
    </w:p>
    <w:p>
      <w:r>
        <w:t>- 35 - facultés de déambulation. Or, même à admettre que tel soit le cas, la gêne resterait minime et n’empêcherait ni ne réduirait les perspectives d’exercer une activité légère sédentaire adaptée telle que préconisée par le SMR. L’assuré ne peut pas non plus faire valoir une limitation de ses capacités d’adaptation, prétendument induite par la durée de sa dernière activité professionnelle : lors de son stage à E.________, les examinateurs ont au contraire observé de bonnes facultés intellectuelles et d’apprentissage. L’assuré s’était montré capable d’appliquer rapidement des règles d’usage. Il avait démontré une bonne capacité d’apprentissage par la pratique, comprenant bien les consignes démonstratives et ne rencontrant aucun problème avec toutes les activités proposées. Instruit, il parlait et lisait bien le français ; il avait également obtenu de bons résultats en mathématiques (cf. rapport de synthèse du 20 septembre 2013). Ces différents éléments ne vont pas dans le sens d’une faculté d’adaptation réduite. Enfin, le recourant ne peut tirer aucun argument de l’arrêt du Tribunal fédéral 9C_384/2008 cité à l’appui de son recours. D’une part en effet, les deux situations ne sont pas identiques. D’autre part, dans son arrêt, la Haute Cour a limité son examen à la question de savoir si l’autorité cantonale avait exercé son pouvoir d’appréciation de manière contraire au droit (excès positif ou négatif du pouvoir d’appréciation, cf. ATF 132 V 393). En définitive, il ne figure au dossier aucun élément justifiant de revenir sur le taux d’abattement de 10% fixé par l’intimé. Après déduction de 10% sur le salaire statistique, le revenu annuel d’invalide déterminant pour l’année 2012 s’élève à 58'659 fr. 30 (65'177 fr. 10 x 90 : 100). c) La comparaison des revenus sans et avec invalidité précités aboutit à un préjudice économique de 12'145 fr. 20 (70'804 fr. 50 – 58'659 fr. 30). Le taux d’invalidité qui en découle, de 17% ([12'145 fr. 20 : 70'804 fr. 50] x 100), ne suffit pas à ouvrir le droit à une rente d’invalidité.</w:t>
      </w:r>
    </w:p>
    <w:p>
      <w:r>
        <w:t>- 36 - A l’instar de l’intimé, on remarquera encore que même à prendre un taux d’abattement de 15%, le taux d’invalidité, de 22% compte tenu d’une exigibilité de 100%. C’est ainsi à juste titre que l’intimé a estimé que la situation de l’assuré avait connu une amélioration durable dès le 1er novembre 2012, de nature à réviser la rente octroyée jusqu’alors. Cette amélioration ayant durée plus de trois mois, elle justifie une révision du droit à la rente, soit, in casu, sa suppression, à partir du 1er février 2013 (cf. art. 88a al. 1 RAI).</w:t>
      </w:r>
    </w:p>
    <w:p>
      <w:r>
        <w:rPr>
          <w:b/>
        </w:rPr>
        <w:t>E. 7</w:t>
      </w:r>
    </w:p>
    <w:p>
      <w:r>
        <w:t>a) En conclusion, le recours se révèle mal fondé et doit donc être rejeté, ce qui entraîne la confirmation de la décision attaquée.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laissés provisoirement à la charge de l’Etat. Il n’y a au demeurant pas lieu d’allouer de dépens, le recourant n’obtenant pas gain de cause (art. 55 al. 1 LPA-VD ; art. 61 let. g LPGA). c) Le recourant a obtenu, au titre de l’assistance judiciaire, l’exonération des frais de justice et la commission d’office d’un avocat en</w:t>
      </w:r>
    </w:p>
    <w:p>
      <w:r>
        <w:t>- 37 - la personne de Me David Métille à compter du 12 juillet 2016 jusqu’au terme de la présente procédure (art. 118 al. 1 let. c CPC, applicable par renvoi de l’art. 18 al. 5 LPA-VD). Les frais de justice et la rémunération de l’avocat d’office sont provisoirement supportés par le canton (art. 122 al. 1 let. a CPC, applicable par renvoi de l’art. 18 al. 5 LPA-VD),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Par courrier du 16 octobre 2017, Me Métille a produit une liste de ses opérations, faisant état d’un temps consacré au dossier de 19 heures et 15 minutes (dont 15 heures et 15 minutes ont été effectuées par une avocate-stagiaire). Contrôlées au regard de la procédure, ces opérations rentrent globalement dans le cadre d’un bon accomplissement du mandat, de sorte que le montant des honoraires doit être arrêté à 2'589 fr. 30, TVA à 8 % comprise (4h à 180 fr. et 15h15 à 110 fr. [art. 2 al. 1 let. a et b RAJ]). Il y a lieu d’ajouter des débours par 37 fr. 35 (art. 3 al. 3 RAJ), TVA à 8 % incluse. L’indemnité d’office du conseil du recourant doit donc être arrêtée à 2'626 fr. 65, TVA comprise.</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