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ZD16.028480 vom 24. Oktober 2016</w:t>
      </w:r>
    </w:p>
    <w:p>
      <w:r>
        <w:t>VD Tribunal cantonal, 2016-10-24, FR</w:t>
      </w:r>
    </w:p>
    <w:p>
      <w:r>
        <w:rPr>
          <w:b/>
        </w:rPr>
        <w:t xml:space="preserve">Quelle: </w:t>
      </w:r>
      <w:r>
        <w:t>https://mcp.opencaselaw.ch/entscheid/vd_gerichte_ZD16.028480</w:t>
      </w:r>
    </w:p>
    <w:p>
      <w:r>
        <w:t>FR: VD_GERICHTE ZD16.028480 du 24 octobre 2016</w:t>
      </w:r>
    </w:p>
    <w:p>
      <w:r>
        <w:t>IT: VD_GERICHTE ZD16.028480 del 24 ottobre 2016</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(cf. art. 1 al. 1 LAI). L'art. 69 al. 1 let. a LAI dispose qu'en dérogation aux art. 52 et 58 LPGA, les décisions des offices Al cantonaux</w:t>
      </w:r>
    </w:p>
    <w:p>
      <w:r>
        <w:t>- 5 - peuvent directement faire l'objet d'un recours devant le tribunal des assurances du domicile de l'office concerné. Le recours doit être déposé dans les trente jours suivant la notification de la décision sujette à recours (cf. art. 60 al. 1 LPGA). En l'espèce, le recours a été interjeté en temps utile auprès du tribunal compétent. Respectant pour le surplus les autres conditions de forme prévues par la loi (cf. art. 61 let. b LPGA notamment), il est recevable. b) Dans le canton de Vaud, la procédure de recours est régie par la LPA-VD (loi cantonale vaudoise du 28 octobre 2008 sur la procédure administrative ; RSV 173.36). La Cour des assurances sociales du Tribunal cantonal est compétente pour statuer (cf. art. 93 let. a LPA-VD). c) La question à examiner est celle du droit du recourant à une allocation pour impotent de l’AI.</w:t>
      </w:r>
    </w:p>
    <w:p>
      <w:r>
        <w:rPr>
          <w:b/>
        </w:rPr>
        <w:t>E. 2</w:t>
      </w:r>
    </w:p>
    <w:p>
      <w:r>
        <w:t>Aux termes de l'art. 9 LPGA, est réputée impotente toute personne qui, en raison d'une atteinte à sa santé, a besoin de façon permanente de l'aide d'autrui ou d'une surveillance personnelle pour accomplir des actes élémentaires de la vie quotidienne. Tant l'assurance-militaire (cf. art. 20 LAM [loi fédérale du 19 juin 1992 sur l’assurance-militaire ; RS 833.1]) et l'assurance-accidents (cf. art. 26 LAA [loi fédérale du 20 mars 1981 sur l’assurance-accidents ; RS 832.20]) que l'assurance-vieillesse et survivants (cf. art. 43bis LAVS [loi fédérale du 20 décembre 1946 sur l'assurance-vieillesse et survivants ; RS 831.10]) et l'assurance-invalidité (cf. art. 42 LAI) prévoient pour les assurés qui en remplissent les conditions le droit à une allocation pour impotent. Selon l'art. 66 al. 3 LPGA, les allocations pour impotents sont, selon les dispositions de la loi spéciale concernée et dans l'ordre suivant, versées exclusivement par : a. l'assurance militaire ou l'assurance-accidents ;</w:t>
      </w:r>
    </w:p>
    <w:p>
      <w:r>
        <w:t>- 6 - b. I'AVS ou l'Al. L'art. 42 al. 6 LAI permet néanmoins au Conseil fédéral de régler la prise en charge par l'assurance-invalidité d'une contribution proportionnelle lorsque l'impotence n'est que partiellement imputable à un accident. Faisant usage de cette délégation, le Conseil fédéral a édicté l'art. 39k RAI (règlement du 17 janvier 1961 sur l’assurance-invalidité ; RS 831.201). Selon l'art. 39k al. 1 RAI, lorsque le bénéficiaire d'une allocation pour impotent de l'assurance-invalidité peut prétendre par la suite à une allocation pour impotent de l'assurance-accidents, la caisse de compensation doit verser l'allocation pour impotent de l'assurance- invalidité à l'assureur-accidents tenu de verser les prestations, car, dans ce cas de figure précis, l'assurance-invalidité aurait dû poursuivre le versement de l'allocation pour impotent s'il n'y avait pas eu d'accident (voir également les art. 66quater al. 1 RAVS [règlement du 31 octobre 1947 sur l’assurance-vieillesse et survivants ; RS 831.101] et 38 al. 5 OLAA [ordonnance du 20 décembre 1982 sur l'assurance-accidents ; RS 832.202]). Selon l'art. 39k al. 2 RAI, lorsque le bénéficiaire d'une allocation pour impotent de l'assurance-accidents voit le montant de cette prestation être augmenté pour une cause étrangère à un accident, la caisse de compensation doit verser à l'assureur-accidents tenu de verser les prestations le montant de l'allocation pour impotent que l'assurance- invalidité aurait dû allouer à l'assuré s'il n'avait pas été victime d'un accident (voir également l'art. 66quater al. 2 RAVS; cf. TF 9C_281/2014 du 1er juillet 2014 consid. 4.2 et doctrine citée ; cf. également la Circulaire concernant l'allocation pour impotent de l'AVS/AI s'agissant des cas d'impotence consécutive à un accident, édictée par l’Office fédéral des assurances sociales [OFAS]). Dans sa jurisprudence, le Tribunal fédéral a plus précisément retenu qu’une impotence exclusivement imputable à un accident ne pouvait donner lieu, eu égard à la règle de priorité définie à l'art. 66 al. 3 LPGA, au versement d'une allocation pour impotent de l'assurance- invalidité, le contexte légal et jurisprudentiel actuel n'autorisant aucune intervention, même sous une forme provisoire, de la part des organes de</w:t>
      </w:r>
    </w:p>
    <w:p>
      <w:r>
        <w:t>- 7 - l'assurance-invalidité, les hypothèses visées à l'art. 39k RAI n'entrant pas en ligne de compte (cf. TF 9C_281/2014 précité consid. 5). En l'espèce, dans ses arrêts des 26 mai et 6 juillet 2015, la Cour de céans a considéré que l'invalidité du recourant était due à une plexopathie sensitivomotrice axonale du plexus brachial gauche, cette affection étant une conséquence de l'intervention pratiquée le 22 septembre 2004, dite intervention étant en lien de causalité avec l'accident du 26 novembre 2003, dont elle était une suite. Par conséquent, une impotence éventuelle ne pouvant être due qu'exclusivement à l'accident du 26 novembre 2003, le droit à une allocation pour impotent de l'Al n'est pas ouvert. Partant, c'est à juste titre que l'OAI a rejeté la demande de l’assuré.</w:t>
      </w:r>
    </w:p>
    <w:p>
      <w:r>
        <w:rPr>
          <w:b/>
        </w:rPr>
        <w:t>E. 3</w:t>
      </w:r>
    </w:p>
    <w:p>
      <w:r>
        <w:t>a) Vu ce qui précède, le recours doit être rejeté et la décision attaquée confirmée.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w:t>
      </w:r>
    </w:p>
    <w:p>
      <w:r>
        <w:t>- 8 - En l'espèce, compte tenu de l'ampleur de la procédure, les frais de justice doivent être fixés à 400 fr. et devraient être mis à la charge du recourant, qui succombe (cf. art. 69 al. 1bis LAI et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Quant à l’indemnité au défenseur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Me Abderrahim a produit une liste de ses opérations le 21 octobre 2016, laquelle a été contrôlée au regard de la procédure et rentre globalement dans le cadre du bon accomplissement du mandat. L’indemnité du conseil d’office doit ainsi être arrêtée à dix heures et quarante minutes au tarif horaire de 180 fr. (cf. art. 2 al. 1 let. a RAJ), à quoi s'ajoutent les débours par 50 fr. et la TVA au taux de 8%, ce qui représente un montant total de 2'127 fr. 60.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