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ZD16.024594 vom 22. Dezember 2016</w:t>
      </w:r>
    </w:p>
    <w:p>
      <w:r>
        <w:t>VD Tribunal cantonal, 2016-12-22, FR</w:t>
      </w:r>
    </w:p>
    <w:p>
      <w:r>
        <w:rPr>
          <w:b/>
        </w:rPr>
        <w:t xml:space="preserve">Quelle: </w:t>
      </w:r>
      <w:r>
        <w:t>https://mcp.opencaselaw.ch/entscheid/vd_gerichte_ZD16.024594</w:t>
      </w:r>
    </w:p>
    <w:p>
      <w:r>
        <w:t>FR: VD_GERICHTE ZD16.024594 du 22 décembre 2016</w:t>
      </w:r>
    </w:p>
    <w:p>
      <w:r>
        <w:t>IT: VD_GERICHTE ZD16.024594 del 22 dicembre 2016</w:t>
      </w:r>
    </w:p>
    <w:p>
      <w:pPr>
        <w:pStyle w:val="Heading2"/>
      </w:pPr>
      <w:r>
        <w:t>Erwägungen</w:t>
      </w:r>
    </w:p>
    <w:p>
      <w:r>
        <w:rPr>
          <w:b/>
        </w:rPr>
        <w:t>E. 1</w:t>
      </w:r>
    </w:p>
    <w:p>
      <w:r>
        <w:t>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de l'assurance-invalidité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t>- 9 -</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Le litige porte sur le droit du recourant à une rente de l’assurance-invalidité. Il s’agit plus particulièrement de déterminer s'il peut prétendre à la poursuite du versement de la rente pour la période postérieure au 31 juillet 2015. L’intimé a reconnu à juste titre le droit du recourant à une rente entière d’invalidité du 1er décembre 2014 jusqu'à cette date. Il n’y a pas lieu de revenir plus avant sur ce point qui n’est pas contesté entre les parties.</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- 10 -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(ATF 125 V 256 consid. 4 ; TF 9C_58/2013 du 22 mai 2013 consid. 3.1).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ATF 125 V 351 consid. 3a ; TF 9C_418/2007 du</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w:t>
      </w:r>
    </w:p>
    <w:p>
      <w:r>
        <w:t>- 11 - que les conclusions de l’expert soient bien motivées. L’élément déterminant, pour la valeur probante, n’est ni l’origine du moyen de preuve, ni sa désignation comme rapport ou comme expertise, mais bel et bien son contenu (ATF 125 V 351 consid. 3a ; ATF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Selon la jurisprudence (ATF 125 V 413 consid. 2b ; TF 9C_1006/2010 du 22 mars 2011 consid. 2.2), la décision qui accorde simultanément une rente avec effet rétroactif et en prévoit la réduction ou la suppression correspond à une décision de révision au sens de l'art. 17 LPGA.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(cf. ATF 130 V 343 consid. 3.5 ; cf.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w:t>
      </w:r>
    </w:p>
    <w:p>
      <w:r>
        <w:t>- 12 - appréciation des preuves et une comparaison des revenus conformes au droit, et les circonstances régnant à l'époque de la décision litigieuse (ATF 133 V 108 consid. 5.4). 5. a) Aux termes de sa décision du 6 mai 2016, l'intimé a alloué une rente entière d'invalidité au recourant, avec effet limité du 1er décembre 2014 au 31 juillet 2015. L'intimé a considéré que son incapacité de travail et de gain était totale à l'échéance du délai d'attente d'une année prévu par la loi (art. 28 al. 1 let. b LAI), soit au mois de décembre 2014, ce qui justifiait l'ouverture du droit à la rente dès cette date. L'OAI a toutefois estimé que si l'exercice de l'activité habituelle n'était plus possible, celui d'une activité adaptée aux limitations fonctionnelles était exigible du recourant à 100% dès le 21 avril 2015, avec un préjudice économique nul conduisant à la suppression du droit à la rente le 31 juillet 2015, soit trois mois après l'amélioration survenue en avril 2015 (art. 88a al. 1 RAI). Le recourant, pour sa part, conteste l'évaluation de sa capacité de travail dans une activité adaptée à ses limitations fonctionnelles à partir du mois d'avril 2015, se référant notamment aux rapports médicaux de son médecin traitant, la Dresse K.________, des 21 décembre 2015 et 29 janvier 2016. Il conteste en particulier que l'intimé puisse constater une pleine capacité de travail dans une activité adaptée, contrairement à son médecin traitant, sans que son service médical ait lui-même jamais procédé à un examen médical. b) L'intimé s'est notamment fondé sur les rapports des médecins traitants qui étaient, dès fin décembre 2014, favorables à une reprise du travail dans une activité adaptée, progressivement (examen psychologique des 12 et 19 mars 2014, rapport médicaux des</w:t>
      </w:r>
    </w:p>
    <w:p>
      <w:r>
        <w:rPr>
          <w:b/>
        </w:rPr>
        <w:t>E. 11</w:t>
      </w:r>
    </w:p>
    <w:p>
      <w:r>
        <w:t>septembre et 29 décembre 2014 établis par la Dresse K.________). Ces rapports n'établissaient aucune atteinte à la santé psychique pouvant expliquer une incapacité dans une activité adaptée, telle que décrite par le Dr T.________, dans son rapport du 11 mai 2015. En particulier, le syndrome de Korsakoff a été écarté, à la suite de</w:t>
      </w:r>
    </w:p>
    <w:p>
      <w:r>
        <w:t>- 13 - l'examen neuropsychologique du 16 avril 2015 pratiqué par les neuropsychologues W.________ et [...], qui ont, elles aussi, conclu à une capacité de travail envisageable dans une activité simple, répétitive et routinière, sans responsabilité (rapport d'examen neuropsychologique du 21 avril 2015). A cet égard, on constatera que le rapport médical du 21 avril 2015 repose sur un examen clinique complet et détaillé du recourant sur le plan neuropsychologique. Il contient des conclusions motivées qui donnent une appréciation claire et cohérente de sa situation médicale, de sorte que le caractère probant du rapport doit être admis. L'intimé s'est également fondé sur les rapports du SMR, notamment celui du 11 mai 2015, lequel tient compte des troubles neuropsychologiques constatés dans le cadre de l'examen du 16 avril 2015, en constatant les limitations fonctionnelles du recourant. La Dresse K.________ pose pour la première fois le 29 juin 2016, soit après le projet de décision du 15 décembre 2015, le diagnostic de trouble de la personnalité mixte, avec des traits paranoïaques, narcissiques et dépendants. Ses observations sur ce point sont toutefois peu documentées, ainsi que l'a relevé le DrT.________ dans son avis du 9 février 2016. En particulier, elle ne fait pas mention d’indicateurs clairs évoquant un état pathologique susceptible d’entrer dans la définition du nouveau diagnostic qu'elle retient. En tout état de cause, un tel trouble, s'il avait été décompensé, aurait été diagnostiqué plus tôt par la Dresse K.________, ce d'autant que le recourant est suivi au Centre de psychiatrie du Nord Vaudois depuis juin 2013. Non décompensé, ce trouble n'empêche pas une reprise du travail dans une activité adaptée telle que décrite par le SMR. En définitive, on constate que le recourant ne présente pas d'atteinte du registre psychiatrique ou neuropsychologique susceptible d’amoindrir sa capacité de travail, les limitations fonctionnelles étant au demeurant reconnues par l'intimé. Contrairement ses allégations, une visite médicale auprès du SMR n'aurait pas suffi à modifier ce constat. Aussi, c'est à juste titre que l'intimé a reconnu une pleine capacité de travail dès le 21 avril 2015, date de l'examen neuropsychologique, chez un</w:t>
      </w:r>
    </w:p>
    <w:p>
      <w:r>
        <w:t>- 14 - assuré présentant un alcoolisme et un état dépressif en rémission depuis plusieurs mois. Dans ce contexte, la position du SMR et, corollairement, de l’OAI échappe à la critique. 6.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b) En l'occurrence, le salaire sans invalidité a été fixé à 48'100 fr., ce qui n'est pas contesté. Il n'y a pas à revenir sur cet aspect de la décision litigieuse, qui ne prête pas flanc à la critique. Quant au</w:t>
      </w:r>
    </w:p>
    <w:p>
      <w:r>
        <w:t>- 15 - revenu d'invalide, il a été établi en se fondant sur l'Enquête suisse sur la structure des salaires 2014, comme l'admet la jurisprudence. En l'absence de tout grief du recourant, on ne reviendra pas davantage sur ce point, sauf à préciser qu'une déduction de 20 %, plutôt que de 10 %, pour tenir compte des limitations fonctionnelles tout de même conséquentes présentées par le recourant, aurait été préférable. De la comparaison entre le revenu sans invalidité (48'100 fr.) et celui d'invalide (59'559 fr.), il en ressort en définitive un taux d'invalidité nul, conduisant à la suppression de la rente dès le 1er août 2015 (art. 88a al. 1 RAI), étant encore précisé que la prise en compte d'un abattement de 20% ne serait pas de nature à modifier le droit aux prestations du recourant. Le recourant ne peut dès lors prétendre à l’octroi d’une rente d’invalidité postérieurement au mois de juillet 2015. 7. 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Le recourant, au demeurant non assisté des services d’un mandataire professionnel pour la défense de ses intérêts, n’obtenant pas gain de cause, il ne peut pas prétendre à l’allocation de dépens en sa faveur (art. 61 let. g LPGA ; art. 55 al. 1 LPA-VD, applicable par renvoi des art. 91 et 99 LPA-VD).</w:t>
      </w:r>
    </w:p>
    <w:p>
      <w:r>
        <w:t>- 16 -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