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ZD16.024587 vom 21. November 2016</w:t>
      </w:r>
    </w:p>
    <w:p>
      <w:r>
        <w:t>VD Tribunal cantonal, 2016-11-21, FR</w:t>
      </w:r>
    </w:p>
    <w:p>
      <w:r>
        <w:rPr>
          <w:b/>
        </w:rPr>
        <w:t xml:space="preserve">Quelle: </w:t>
      </w:r>
      <w:r>
        <w:t>https://mcp.opencaselaw.ch/entscheid/vd_gerichte_ZD16.024587</w:t>
      </w:r>
    </w:p>
    <w:p>
      <w:r>
        <w:t>FR: VD_GERICHTE ZD16.024587 du 21 novembre 2016</w:t>
      </w:r>
    </w:p>
    <w:p>
      <w:r>
        <w:t>IT: VD_GERICHTE ZD16.024587 del 21 novembre 2016</w:t>
      </w:r>
    </w:p>
    <w:p>
      <w:pPr>
        <w:pStyle w:val="Heading2"/>
      </w:pPr>
      <w:r>
        <w:t>Erwägungen</w:t>
      </w:r>
    </w:p>
    <w:p>
      <w:r>
        <w:rPr>
          <w:b/>
        </w:rPr>
        <w:t>E. 5</w:t>
      </w:r>
    </w:p>
    <w:p>
      <w:r>
        <w:t>En l’occurrence, le point litigieux est celui de savoir si les rapports établis par le SMR les 28 février 2014, 11 juillet 2014 et 13 mai 2015 constituent une preuve suffisante pour admettre l'existence d'une pleine capacité de travail du recourant dans une activité adaptée. Les rapports précités du SMR constituent des rapports au sens de l'art. 59 al. 2bis LAI (en corrélation avec l'art. 49 al. 1 RAI [règlement du 17 janvier 1961 sur l'assurance-invalidité ; RS 831.201]).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(ATF 125 V 351 consid. 3a), les autorités appelées à statuer ont en effet le devoir d'examiner objectivement tous les documents à disposition, quelle que soit leur provenance, puis de décider s'ils permettent de porter un jugement valable sur le droit litigieux (cf. TF I 143/07 du 14 septembre 2007 consid. 3.3).</w:t>
      </w:r>
    </w:p>
    <w:p>
      <w:r>
        <w:t>- 11 - En l'occurrence, les rapports précités du SMR ne reposent pas sur des observations cliniques auxquelles l'un de ses médecins aurait personnellement procédé, mais sur une appréciation fondée exclusivement sur une analyse des documents médicaux versés au dossier. Le résultat de cette appréciation n'est toutefois corroboré par aucune pièce médicale. Certes, le recourant semble, de prime abord, présenter une capacité de travail résiduelle. Le dossier ne contient cependant aucun élément médical permettant d'exclure explicitement toute incapacité de travail résultant de l’atteinte au niveau des genoux. Ainsi que le relève à juste titre le recourant, le seul médecin à s’être prononcé après l’avoir examiné est le Dr Z.________. Or ce médecin n’a pas exprimé un point de vue clair sur la question de la capacité résiduelle de travail, en particulier dans une activité adaptée. Le seul fait que ce médecin ait mentionné une évolution favorable à la suite de l’opération du</w:t>
      </w:r>
    </w:p>
    <w:p>
      <w:r>
        <w:rPr>
          <w:b/>
        </w:rPr>
        <w:t>E. 7</w:t>
      </w:r>
    </w:p>
    <w:p>
      <w:r>
        <w:t>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Le recourant, qui obtient gain de cause avec l'assistance d'un mandataire professionnel, a droit à des dépens, dont le montant doit être déterminé d’après l’importance et la complexité du litige (cf. art. 61 let. g LPGA ; cf. également art. 10 et 11 TFJDA [tarif du 28 avril 2015 des frais judiciaires et des dépens en matière administrative ; RSV 173.36.5.1]). En l’espèce, les dépens sont arrêtés à 2’000 fr., TVA comprise, à la charge de l'intimé qui succombe (cf. art. 55 al. 2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