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ZD16.023650 vom 13. April 2018</w:t>
      </w:r>
    </w:p>
    <w:p>
      <w:r>
        <w:t>VD Tribunal cantonal, 2018-04-13, FR</w:t>
      </w:r>
    </w:p>
    <w:p>
      <w:r>
        <w:rPr>
          <w:b/>
        </w:rPr>
        <w:t xml:space="preserve">Quelle: </w:t>
      </w:r>
      <w:r>
        <w:t>https://mcp.opencaselaw.ch/entscheid/vd_gerichte_ZD16.023650</w:t>
      </w:r>
    </w:p>
    <w:p>
      <w:r>
        <w:t>FR: VD_GERICHTE ZD16.023650 du 13 avril 2018</w:t>
      </w:r>
    </w:p>
    <w:p>
      <w:r>
        <w:t>IT: VD_GERICHTE ZD16.023650 del 13 aprile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 RSV 173.36), qui s’applique aux recours et contestations par voie d’action dans le domaine</w:t>
      </w:r>
    </w:p>
    <w:p>
      <w:r>
        <w:t>- 17 - des assurances sociales (art. 2 al. 1 let. c LPA-VD), la Cour des assurances sociales du Tribunal cantonal, composée de trois magistrats (art. 94 al. 4 LPA-VD), est compétente pour statuer. En l’espèce, formé en temps utile et dans le respect des règles de forme prévues par la loi (art. 61 let. b LPGA notamment), le recours est recevable, de sorte qu’il y a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le litige porte sur la question de savoir si le recourant présente, en raison d'une atteinte à la santé, une diminution de sa capacité de travail et de gain susceptible de lui ouvrir le droit à des prestations de l'AI.</w:t>
      </w:r>
    </w:p>
    <w:p>
      <w:r>
        <w:rPr>
          <w:b/>
        </w:rPr>
        <w:t>E. 3</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w:t>
      </w:r>
    </w:p>
    <w:p>
      <w:r>
        <w:t>- 18 - sa santé physique, mentale ou psychique. En cas d’incapacité de travail de longue durée, l’activité qui peut être exigée de l'assuré peut aussi relever d’une autre profession ou d’un autre domaine d’activité (art. 6 LPGA in fine).</w:t>
      </w:r>
    </w:p>
    <w:p>
      <w:r>
        <w:rPr>
          <w:b/>
        </w:rPr>
        <w:t>E. 4</w:t>
      </w:r>
    </w:p>
    <w:p>
      <w:r>
        <w:t>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phr. 2 LPGA ; ATF 141 V 281 consid. 3.7.1, 127 V 294 consid. 4c in fine et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 que le trouble somatoforme douloureux (TF 9C_49/2013 du 2 juillet 2013 consid. 4.1).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w:t>
      </w:r>
    </w:p>
    <w:p>
      <w:r>
        <w:t>- 19 -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w:t>
      </w:r>
    </w:p>
    <w:p>
      <w:r>
        <w:t>- 20 -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(consid. 4.4 de l’arrêt cité).</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w:t>
      </w:r>
    </w:p>
    <w:p>
      <w:r>
        <w:t>- 21 -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b)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du 2 novembre 2015 consid. 3.3).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w:t>
      </w:r>
    </w:p>
    <w:p>
      <w:r>
        <w:t>- 22 - Cela vaut également lorsqu'un ou plusieurs médecins ont émis une opinion divergeant de celle de l'expert (TF 9C_268/2011 précité loc. cit.; TF 9C_615/2015 du 12 janvier 2016 consid. 6.2).</w:t>
      </w:r>
    </w:p>
    <w:p>
      <w:r>
        <w:rPr>
          <w:b/>
        </w:rPr>
        <w:t>E. 6</w:t>
      </w:r>
    </w:p>
    <w:p>
      <w:r>
        <w:t>a) Sur le plan neurologique, l’OAI s’est fondé sur le rapport d’expertise du Dr C.________ du 16 juin 2014 pour dénier au recourant le droit à des prestations de l’AI. Cet expert retient en effet une capacité de travail complète (plein temps et rendement de 100%) dans l’activité exercée préalablement, dans la mesure où il est parvenu à la conclusion qu’aucune affection neurologique n’était présente chez le recourant. Ce rapport d’expertise est soigneusement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ce que le recourant ne conteste d’ailleurs pas. Celui-ci soutient à cet égard qu’à la lecture du rapport précité, « l’on ne peut que constater que l’expert, même s’il ne retient pas d’incapacité de travail du point de vue purement neurologique, considère qu’une incapacité de travail doit être reconnue à l’assuré au vu de la symptomatologie et des limitations présentées, raison pour laquelle il propose d’autres examens. » Ce n’est pas exactement ce qui ressort du rapport d’expertise. Certes, l’expert a émis des doutes quant à la capacité de travail du recourant sur le plan psychiatrique. Il n’était toutefois pas en mesure d’affirmer, contrairement à ce que soutient le recourant, qu’une incapacité de travail devait être reconnue sur le plan psychiatrique, n’étant précisément pas psychiatre. C’est la raison pour laquelle l’expert a préconisé la mise en œuvre d’une expertise psychiatrique, sans se prononcer plus avant sur ce plan-là. Les autres rapports médicaux figurant au dossier (cf. en particulier les rapports, au demeurant plus anciens, du médecin traitant, le Dr H.________, des 26 novembre, 19 décembre 2012 et 16 juillet 2013) ne sont pas de nature à remettre en cause les conclusions auxquelles est parvenu le Dr C.________.</w:t>
      </w:r>
    </w:p>
    <w:p>
      <w:r>
        <w:t>- 23 - Sur le plan neurologique, il convient donc de se rallier aux conclusions du rapport d’expertise du 16 juin 2014 du Dr C.________, selon lesquelles l’assuré présente une capacité de travail de 100% dans l’activité habituelle. b) Sur le plan psychiatrique, l’OAI s’est fondé sur le rapport d’expertise du Dr K.________ du 14 août 2015, lequel retient comme diagnostic un trouble dissociatif (F44.7) sans répercussion sur la capacité de travail, pour retenir une capacité de travail à 100% dans l’activité habituelle. Le recourant fait en particulier valoir que l’expert K.________ met en doute à tort la sévérité du trouble diagnostiqué, notamment parce qu’il a considéré que le recourant pouvait conduire et qu’il a retenu l’avis du Dr P.________, neurologue, selon lequel l’atteinte n’était pas assez grave pour justifier une rente AI. Or force est d’admettre que l’avis du médecin précité a été confirmé par l’expertise neurologique à l’issue de laquelle aucune atteinte sur le plan neurologique n’a été retenue. Par ailleurs, en se focalisant sur la problématique de la conduite automobile, le recourant perd de vue que l’expert évoque bien d’autres raisons de considérer que le trouble n’est pas sévère. En effet, l’expert relève que l’assuré n’a pas d’autres troubles psychiques (comorbidités) qui auraient valeur incapacitante en soi, qu’il conserve de bonnes capacités relationnelles, un réseau social large, une capacité de communiquer normalement et de moduler ses affects, de l’autonomie dans ses activités de la vie quotidienne et qu’il s’adonne à des activités de loisirs. Il ressort en outre du rapport d’expertise que le recourant n’est pas suivi par un psychiatre et que ses douleurs sont couvertes par deux antalgiques, ce qui tend également à démontrer que l’atteinte n’est pas aussi sévère que le prétend le recourant. Le recourant reproche également à l’expert de ne pas avoir tenu compte de l’examen neuropsychologique réalisé le</w:t>
      </w:r>
    </w:p>
    <w:p>
      <w:r>
        <w:rPr>
          <w:b/>
        </w:rPr>
        <w:t>E. 7</w:t>
      </w:r>
    </w:p>
    <w:p>
      <w:r>
        <w:t>novembre 2014, dont il ressort qu’il présente une dysfonction cognitive sévère et diffuse, laquelle comportait de nombreuses particularités et incohérences. Or la psychologue, tout en suspectant des éléments de surcharge de nature non organique, a reconnu elle-même que les résultats de l’examen effectué par le recourant devaient être interprétés avec prudence et qu’elle n’était pas en mesure de se prononcer de manière</w:t>
      </w:r>
    </w:p>
    <w:p>
      <w:r>
        <w:t>- 24 - fiable sur la capacité de travail et les limitations fonctionnelles sur le plan strictement cognitif, précisant qu’un avis psychiatrique était souhaitable. Le recourant soutient encore que son trouble est à l’origine de son licenciement et non l’inverse. Ce n’est toutefois pas ce qui ressort du dossier. En effet, il apparaît que le recourant a connu pour la première fois des troubles après son accident de juin 2007, troubles qui lui ont valu un arrêt de travail. L’évolution a été favorable et le recourant a alors repris son activité. Il mentionne à ce propos que la reprise a été difficile et que l’employeur l’aurait placé à l’extérieur des serres, ce qu’il considérait comme dévalorisant, avant de le réintégrer comme responsable en serres. Il a reconnu qu’il y avait eu des problèmes au travail et des tensions avec son employeur depuis ce moment-là et c’est d’ailleurs ce qui ressort de la lettre de licenciement du 24 avril 2012, dans laquelle il est mentionné que malgré les avertissements, son comportement n’est plus à servir dans l’entreprise et qu’il a refusé d’effectuer des contrôles le week-end, ce qu’il avait fait pendant de nombreuses années. L’explication apportée par l’expert quant au fait que le conflit avec l’employeur pouvait être considéré comme le facteur de stress à l’origine du trouble paraît dès lors convaincante. Il y a en outre lieu de constater que, contrairement à ce que soutient le recourant, le rapport d’expertise repose sur un examen approfondi de la situation du recourant. Il tient compte également de l’anamnèse du patient, des antécédents médicaux, de même que des plaintes exprimées par celui-ci et contient également des conclusions dûment motivées où l’expert explique pour quelles raisons il retient le diagnostic précité et écarte les diagnostics différentiels de trouble factices ou de simulation ainsi que de trouble somatoforme indifférencié et de majoration de symptômes physiques pour des raisons psychologiques. Ce rapport remplit ainsi les réquisits de la jurisprudence pour se voir accorder une pleine valeur probante et on ne saurait y voir une quelconque prévention de l’expert à l’égard du recourant. Les autres documents médicaux au dossier ne sont pas de nature à remettre en question les conclusions de l’expertise du Dr</w:t>
      </w:r>
    </w:p>
    <w:p>
      <w:r>
        <w:t>- 25 - K.________. Selon la jurisprudence, la reconnaissance de l’existence d’une atteinte à la santé psychique suppose la présence d’un diagnostic émanant d’un expert (psychiatre) et s’appuyant lege artis sur les critères d’un système de classification reconnu (cf. consid. 4 supra). Les diagnostics posés par le Dr H.________, médecin généraliste, ne peuvent ainsi remettre en cause ceux de l'expert psychiatre, ce d’autant plus qu’en tant que médecin et thérapeute suivant l’assuré depuis de nombreuses années, ses constatations doivent être admises avec réserve (cf. consid. 5b supra). Par ailleurs, dans ses différents rapports, le Dr H.________ ne fait pas état d’éléments objectivement vérifiables qui auraient été ignorés dans le cadre de l’expertise et qui seraient suffisamment pertinents pour remettre en cause le bien-fondé de ses conclusions ou en établir le caractère incomplet. Au contraire, ce praticien lui-même, dans un questionnaire du 8 octobre 2015, relevait que le diagnostic retenu par le Dr K.________ était certes un diagnostic par exclusion de toute autre pathologie organique (neurologique) ou psychiatrique, précisant que ce diagnostic était impossible à prouver de manière objective, tout en admettant cependant qu’il pourrait se révéler correct au vu de l’impossibilité de poser un autre diagnostic d’une maladie neurologique connue actuellement. Le recourant se prévaut encore de rapports médicaux produits postérieurement à la décision attaquée dans lesquels il est fait mention d’un épisode dépressif sévère (cf. rapports de la Dresse B.________ du 28 novembre 2016 et des Drs R.________ et L.________ du 14 septembre 2016). Or il résulte clairement de ces documents que l’état dépressif du recourant est apparu après la décision de l’OAI rejetant la demande. Cet élément ne saurait ainsi être pris en compte, conformément à l’avis du Tribunal fédéral qui considère que les troubles en réaction à une décision négative de l'AI peuvent être traités médicalement de manière adéquate, de sorte qu'il ne peut en découler de handicap psychique invalidant car, dans le cas contraire, la notion juridique de l'invalidité n'aurait plus aucun sens (TF 9C_799/2012 du 16 mai 2013 consid. 2.5). On apprend en outre, à la lecture du rapport des deux médecins précités, que le père du recourant est décédé récemment, soit postérieurement à la décision litigieuse, ce</w:t>
      </w:r>
    </w:p>
    <w:p>
      <w:r>
        <w:t>- 26 - qui a sans aucun doute eu un impact défavorable sur l’état de santé du recourant. c) Au vu de ce qui précède, il y a lieu de se rallier aux conclusions à la fois du rapport d’expertise du 16 juin 2014 du Dr C.________ et de celui du 14 août 2015 du Dr K.________. Ainsi, l’intimé était fondé à retenir une capacité de travail de 100% dans l’activité habituelle tant sur le plan neurologique que psychiatrique.</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En l’espèce, le dossier est complet et permet ainsi à la Cour de statuer en pleine connaissance de cause, de sorte qu'un complément d'instruction apparaît inutile. Partant, les conclusions prises à titre subsidiaire par le recourant tendant à la mise en œuvre d’une expertise, respectivement au renvoi de la cause à l’OAI pour instruction complémentaire sont rejetées.</w:t>
      </w:r>
    </w:p>
    <w:p>
      <w:r>
        <w:rPr>
          <w:b/>
        </w:rPr>
        <w:t>E. 9</w:t>
      </w:r>
    </w:p>
    <w:p>
      <w:r>
        <w:t>a) Compte tenu de ce qui précède, le recours, mal fondé, doit être rejeté et la décision attaquée confirmée. b) En dérogation à l’art. 61 let. a LPGA, la procédure de recours en matière de constatation portant sur l’octroi ou le refus de prestations de l’assurance-invalidité devant le tribunal cantonal des assurances est soumise à frais de justice.</w:t>
      </w:r>
    </w:p>
    <w:p>
      <w:r>
        <w:t>- 27 - En l'espèce, compte tenu de l'ampleur de la procédure, les frais de justice seront fixés à 400 fr. et mis à la charge du recourant, qui succombe (art. 69 al. 1bis LAI et 49 al. 1 LPA-VD). c) Il n'y a par ailleurs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