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ZD16.022164 vom 13. Februar 2017</w:t>
      </w:r>
    </w:p>
    <w:p>
      <w:r>
        <w:t>VD Tribunal cantonal, 2017-02-13, FR</w:t>
      </w:r>
    </w:p>
    <w:p>
      <w:r>
        <w:rPr>
          <w:b/>
        </w:rPr>
        <w:t xml:space="preserve">Quelle: </w:t>
      </w:r>
      <w:r>
        <w:t>https://mcp.opencaselaw.ch/entscheid/vd_gerichte_ZD16.022164</w:t>
      </w:r>
    </w:p>
    <w:p>
      <w:r>
        <w:t>FR: VD_GERICHTE ZD16.022164 du 13 février 2017</w:t>
      </w:r>
    </w:p>
    <w:p>
      <w:r>
        <w:t>IT: VD_GERICHTE ZD16.022164 del 13 febbraio 2017</w:t>
      </w:r>
    </w:p>
    <w:p>
      <w:pPr>
        <w:pStyle w:val="Heading2"/>
      </w:pPr>
      <w:r>
        <w:t>Erwägungen</w:t>
      </w:r>
    </w:p>
    <w:p>
      <w:r>
        <w:rPr>
          <w:b/>
        </w:rPr>
        <w:t>E. 2</w:t>
      </w:r>
    </w:p>
    <w:p>
      <w:r>
        <w:t>mars 2009, a été ramenée à 70% à compter du 11 mai 2009, sans que l’assuré n’ait pu reprendre son activité au sein de la H.________. Dès lors, celle-ci a mis fin aux rapports de travail avec effet au 30 avril 2010. Dans l’intervalle, soit en date du 11 novembre 2009, l’assuré a été reçu en expertise par le Dr M.________, spécialiste en rhumatologie et médecine interne, sur mandat de l’assurance perte de gain en cas de maladie de son employeur, K.________SA. Le rapport corrélatif, rédigé le 13 novembre 2009, a fait état des diagnostics de « dorso-lombalgies chroniques », ainsi que de « troubles statiques sévères du rachis dorso- lombaire et dégénératifs importants du rachis dorsal ». La capacité de travail en tant que manutentionnaire à la H.________ était nulle. L’exercice d’une activité lucrative légère, adaptée aux limitations fonctionnelles, demeurait toutefois exigible à 50%, une diminution de rendement devant être envisagée en sus, au motif d’une possible lenteur d’exécution et d’éventuelles pauses supplémentaires. Des mesures professionnelles ont été mises en œuvre par l’OAI à compter du 22 novembre 2010, à savoir une orientation professionnelle, suivie d’une allocation d’initiation au travail au sein du Centre N.________ à [...] (cf. communications de l’OAI des 22 novembre 2010 et 15 juin 2011). Ce centre a en définitive engagé l’assuré à 50% dès le 28 mars 2011, par contrat de travail de durée indéterminée, pour un salaire mensuel de 1’900 fr., majoré d’une indemnité pour frais de déplacement de 15 fr. et d’une participation de 39 fr. à l’assurance-maladie.</w:t>
      </w:r>
    </w:p>
    <w:p>
      <w:r>
        <w:t>- 4 - Procédant à une comparaison des revenus avec et sans invalidité, l’OAI a mis en évidence un degré d’invalidité de 54,6% et prononcé le maintien de l’allocation d’une demi-rente d’invalidité aux termes d’une communication du 16 août 2011. D. L’OAI a entamé une nouvelle procédure de révision d’office des droits de l’assuré à partir du mois d’avril 2013. A cette occasion, le Dr B.________ a signalé une péjoration de l’état de santé de son patient, lequel présentait de nouvelles affections, survenues en 2013, à savoir des « cervicalgies à répétition » et une « épicondylite droite » (cf. rapport de ce médecin à l’attention de l’OAI, daté du 7 mai 2013). Une nouvelle incapacité totale de travail a été attestée dès le 1er mai 2013, principalement en raison de l’épicondylite, laquelle a fait l’objet d’une intervention chirurgicale par le Dr C.________, spécialiste en chirurgie plastique et chirurgie de la main, en date du 21 octobre 2013. L’assuré a annoncé, par téléphone à l’OAI du 12 décembre 2013, son impossibilité à reprendre son emploi auprès du Centre N.________. Après avoir recueilli des rapports des Drs B.________ et C.________ (cf. rapports des 24 janvier 2014, 28 mars 2014, 16 avril 2015 et 18 mai 2015), ainsi que les pièces réunies par l’assureur perte de gain en cas de maladie de l’employeur, P.________SA, l’OAI a consulté le Service médical régional de l’AI (ci-après : le SMR), qui a préconisé un examen rhumatologique de l’assuré par avis du 12 août 2015. Cet examen a été effectué le 14 octobre 2015 au sein du SMR par le Dr F.________, spécialiste en médecine physique, réadaptation et rhumatologie. Ce praticien a retenu les diagnostics suivants aux termes de son rapport rédigé le 17 novembre 2015 : Avec répercussion sur la capacité de travail : • Dorsolombalgies chroniques, non déficitaires, dans un contexte de troubles statiques marqués, de discarthroses dorsales, de troubles dégénératifs postérieurs lombaires (M54.9). • Épicondylite droite chronique.</w:t>
      </w:r>
    </w:p>
    <w:p>
      <w:r>
        <w:t>- 5 - • Status post déchirure partielle du supra-épineux droit. Vraisemblable conflit sous-acromial. • Cervicalgies non déficitaires dans un contexte de protrusion discale étagée. Sans répercussion sur la capacité de travail : • Surcharge mécanique de la musculature fessière gauche. Le Dr F.________ a par ailleurs considéré que la capacité de travail de l’assuré avait été nulle du 1er mai 2013 au 1er février 2014, compte tenu de l’évolution post-opératoire. A partir de cette dernière date, la capacité de travail était de 40%, respectivement de 50% avec une baisse de rendement de 20%, dans l’activité habituelle, ainsi que dans une activité adaptée. Les limitations fonctionnelles étaient dictées par les atteintes du rachis dorsolombaire, du rachis cervical, de l’épaule et du coude droits. Fondé sur les conclusions du Dr F.________, l’OAI a déterminé les revenus avec et sans invalidité de l’assuré et mis à jour un degré d’invalidité de 64,4% ouvrant le droit à trois quarts de rente d’invalidité. Par projet de décision du 21 décembre 2015, il a communiqué à l’assuré son intention de lui allouer une rente entière d’invalidité, sur la base d’un taux d’invalidité de 100%, pour la période limitée du 1er août 2013 au 30 avril 2014, réduite à trois quarts de rente d’invalidité dès le 1er mai 2014 au vu d’un degré d’invalidité de 64%. En dépit des objections formulées par l’assuré le 15 janvier 2015, l’OAI a rendu une décision le 13 avril 2016, reprenant la teneur de son projet de décision. E. L’assuré, représenté par Me Sébastien Pedroli, a déféré la décision du 13 avril 2016 à la Cour des assurances sociales du Tribunal cantonal par acte de recours du 13 mai 2016, concluant à son annulation et au maintien du versement d’une rente entière d’invalidité. Il a contesté la capacité de travail de 40% prise en compte en sa faveur par l’OAI, considérant ne pas être en mesure de déployer une quelconque activité lucrative au vu de ses limitations fonctionnelles. Un degré d’invalidité de</w:t>
      </w:r>
    </w:p>
    <w:p>
      <w:r>
        <w:t>- 6 - 100% devait en conséquence lui être durablement reconnu. A titre subsidiaire, soulignant que les douleurs engendrées par l’épicondylite ne s’étaient pas améliorées et demeuraient susceptibles d’engendrer d’importantes restrictions, il a fait valoir la nécessité de mettre en œuvre une expertise pluridisciplinaire. L’assuré a requis l’assistance judiciaire, en déposant le formulaire ad hoc, accompagné des pièces utiles, en date du 7 juin 2016. La magistrate instructrice a rendu une décision le 8 juin 2016, mettant le recourant au bénéfice de l’assistance judiciaire avec effet au 7 juin 2016, soit l’exonérant de frais judiciaires et d’avances, ainsi que désignant Me Pedroli en qualité d’avocat d’office. L’intimé a produit sa réponse au recours le 24 août 2016, en proposant le rejet. Il a relevé que les conclusions médicales du Dr F.________ du SMR pouvaient se voir accorder pleine valeur probante. Quant à l’aspect économique, il a fait valoir que l’activité précédemment réalisée par l’assuré au sein du Centre N.________ demeurait adaptée, ce qui lui permettait de confirmer le degré d’invalidité de 64% retenu aux termes de la décision litigieuse. Il a par ailleurs observé que dite décision s’avérait bienveillante pour l’assuré, dans la mesure où une comparaison des revenus fondée sur l’Enquête suisse sur la structure des salaires (ESS), édictée par l’Office fédéral de la statistique (OFS), aurait abouti à un degré d’invalidité inférieur, de l’ordre de 57%. Il s’est référé au surplus à une note de son Service de réinsertion professionnelle du 5 août 2016, jointe en annexe. Par réplique du 17 octobre 2016, le recourant a maintenu ses conclusions. Il a ajouté avoir consulté le Dr D.________, spécialiste en rhumatologie et médecine interne, et produit un rapport médical rédigé par ce praticien le 16 septembre 2016. Celui-ci retenait les diagnostics d’une « épicondylite droite chronique et tendinopathie du sus-épineux chronique », d’un « syndrome vertébral chronique sur troubles dégénératifs et statiques très</w:t>
      </w:r>
    </w:p>
    <w:p>
      <w:r>
        <w:t>- 7 - sévères du rachis dorso-lombaire » et d’un « status après déchirure partielle du supra-épineux droit ». Il considérait l’assuré incapable d’exercer une activité « à un taux fixe, même de 20% ». Vu la divergence des conclusions médicales, un expertise pluridisciplinaire s’imposait à tout le moins selon l’assuré dans l’hypothèse où une rente entière d’invalidité sans limite temporelle ne lui était pas accordée. L’OAI a dupliqué le 2 novembre 2016 et considéré que les diagnostics mentionnés par le Dr D.________ étaient similaires à ceux évoqués par le SMR, à l’instar de ce que soulignait ce service, sous la plume du Dr G.________, médecin, dans un avis du 1er novembre 2016. Il a en outre mis une nouvelle fois en évidence les conclusions consignées par son Service de réinsertion professionnelle en date du</w:t>
      </w:r>
    </w:p>
    <w:p>
      <w:r>
        <w:rPr>
          <w:b/>
        </w:rPr>
        <w:t>E. 5</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w:t>
      </w:r>
    </w:p>
    <w:p>
      <w:r>
        <w:t>- 13 - 256 consid. 4 ; TF 8C_761/2014 du 15 octobre 2015 consid. 3.4 et références citées).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w:t>
      </w:r>
    </w:p>
    <w:p>
      <w:r>
        <w:rPr>
          <w:b/>
        </w:rPr>
        <w:t>E. 5.1</w:t>
      </w:r>
    </w:p>
    <w:p>
      <w:r>
        <w:t>; 125 V 351 consid. 3a ; TF 8C_410/2014 précité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w:t>
      </w:r>
    </w:p>
    <w:p>
      <w:r>
        <w:t>- 14 - 131 I 153 consid. 3, 125 I 127 consid. 6c/cc). b)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Bien que les rapports d'examen réalisés par un SMR en vertu de l'art. 49 al. 2 RAI (règlement du 17 janvier 1961 sur l'assurance- invalidité ;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w:t>
      </w:r>
    </w:p>
    <w:p>
      <w:r>
        <w:rPr>
          <w:b/>
        </w:rPr>
        <w:t>E. 6</w:t>
      </w:r>
    </w:p>
    <w:p>
      <w:r>
        <w:t>octobre 2011 consid. 2.2 ; 9C_745/2010 du 30 mars 2011 consid. 3.3 et 9C_204/2009 du 6 juillet 2009 consid. 3.3.2 et les références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précité loc. cit. ; TF 9C_28/2011 précité loc. cit. et 9C_745/2010 précité loc. cit.). On ajoutera que la durée d'un examen clinique n’est en principe pas de nature à remettre en question la valeur du travail d’un expert, son rôle consistant notamment à se faire une idée sur l'état de</w:t>
      </w:r>
    </w:p>
    <w:p>
      <w:r>
        <w:t>- 15 - santé d'un assuré dans un délai relativement bref (cf. TF I 1084/06 du 26 novembre 2007 consid. 4).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 TF 8C_862/2008 du 19 août 2009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w:t>
      </w:r>
    </w:p>
    <w:p>
      <w:r>
        <w:rPr>
          <w:b/>
        </w:rPr>
        <w:t>E. 10</w:t>
      </w:r>
    </w:p>
    <w:p>
      <w:r>
        <w:t>Il résulte des considérants qui précèdent que le recours, entièrement mal fondé, doit être rejeté sous suite de confirmation de la décision querellée. a)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 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w:t>
      </w:r>
    </w:p>
    <w:p>
      <w:r>
        <w:t>- 28 - b) En l'espèce, compte tenu de l'ampleur de la procédure, les frais de justice doivent être fixés à 400 fr. et devraient être mis à la charge du recourant, qui succombe (art. 69 al. 1bis LAI; art. 49 al. 1 LPA-VD). Toutefois, dès lors que ce dernier est au bénéfice de l'assistance judiciaire, ces frais sont laissés provisoirement à la charge de l'Etat. c) Il n'y a au demeurant pas lieu d'allouer de dépens, le recourant n'obtenant pas gain de cause (art. 55 al. 1 LPA-VD ; cf. art. 61 let. g LPGA). Le recourant bénéficie, au titre de l'assistance judiciaire, de la commission d'office d'un avocat en la personne de Me Sébastien Pedroli à compter du 7 juin 2016 jusqu'au terme de la présente procédure (art. 118 al. 1 let. c CPC, applicable par renvoi de l'art. 18 al. 5 LPA-VD). Le 18 novembre 2016, Me Pedroli a produit le relevé des opérations effectuées pour le compte de son mandant. Son activité a été contrôlée au regard de la conduite du procès et rentre globalement dans le cadre du bon accomplissement du mandat, à l’exception des démarches effectuées le 14 juillet 2016 en matière de prévoyance professionnelle, lesquelles ont lieu d’être écartées. Il s’agit de prendre en compte en définitive 10 heures et 10 minutes au tarif horaire de 180 fr. (art. 2 al. 1 let. a RAJ [règlement cantonal vaudois du 7 décembre 2010 sur l'assistance judiciaire civile ; RSV 211.02.3]), à quoi s'ajoutent les débours par 53 fr. 20 et la TVA au taux de 8%, ce qui représente un montant total de 2’033 fr. 85 pour l'ensemble de l'activité déployée dans la présente cause. Cette rémunération est provisoirement supportée par le canton, tandis que le recourant est rendu attentif au fait qu’il lui incombera de rembourser le montant corrélatif dès que sa situation financière le lui permettra (art. 123 al. 1 CPC). Il appartient au Service juridique et législatif de fixer les modalités de ce remboursement (art. 5 RAJ).</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