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ZD16.021696 vom 6. Mai 2019</w:t>
      </w:r>
    </w:p>
    <w:p>
      <w:r>
        <w:t>VD Tribunal cantonal, 2019-05-06, FR</w:t>
      </w:r>
    </w:p>
    <w:p>
      <w:r>
        <w:rPr>
          <w:b/>
        </w:rPr>
        <w:t xml:space="preserve">Quelle: </w:t>
      </w:r>
      <w:r>
        <w:t>https://mcp.opencaselaw.ch/entscheid/vd_gerichte_ZD16.021696</w:t>
      </w:r>
    </w:p>
    <w:p>
      <w:r>
        <w:t>FR: VD_GERICHTE ZD16.021696 du 6 mai 2019</w:t>
      </w:r>
    </w:p>
    <w:p>
      <w:r>
        <w:t>IT: VD_GERICHTE ZD16.021696 del 6 maggio 2019</w:t>
      </w:r>
    </w:p>
    <w:p>
      <w:pPr>
        <w:pStyle w:val="Heading2"/>
      </w:pPr>
      <w:r>
        <w:t>Erwägungen</w:t>
      </w:r>
    </w:p>
    <w:p>
      <w:r>
        <w:rPr>
          <w:b/>
        </w:rPr>
        <w:t>E. 5</w:t>
      </w:r>
    </w:p>
    <w:p>
      <w:r>
        <w:t>a) Selon l'art. 42ter al. 3 LAI,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(loi fédérale du 20 décembre 1946 sur l'assurance-vieillesse et survivants; RS 831.10),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 Faisant usage de cette délégation de compétence, le gouvernement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w:t>
      </w:r>
    </w:p>
    <w:p>
      <w:r>
        <w:t>- 15 -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 Pour la détermination des besoins en soins intenses, les organes de l'AI disposent d'un large pouvoir d'appréciation pour autant que les faits aient été élucidés de manière satisfaisante (cf. Michel Valterio, Droit de l'assurance-vieillesse et survivants [AVS] et de l'assurance-invalidité [AI], Genève/Zurich/Bâle 2011, p. 633 n° 2366). b) Selon la Circulaire sur l'invalidité et l'impotence dans l'assurance-invalidité (ci-après : la CIIAI) édictée par l'Office fédéral des assurances sociales (ci-après : l'OFAS), il y a lieu, lors du calcul de l'assistance supplémentaire quotidienne, de supposer que la personne à assister séjourne de manière durable à son domicile. Sont décisifs des besoins matériellement importants et non tributaires du lieu de séjour de la personne à assister. Il faut se fonder sur une valeur moyenne. Le temps consacré à des soins non quotidiens doit être converti de manière à obtenir une moyenne quotidienne. A titre d'exemple, dans le cas d'un enfant soigné à domicile, fréquentant une institution cinq jours par semaine en qualité d'externe et nécessitant une assistance supplémentaire d'en moyenne 6 heures les jours de classe et 9 heures en cas de séjour à domicile, il y a lieu d'admettre une assistance d'une durée de 9 heures par jour (cf. n° 8091 CIIAI). Concernant la procédure à suivre, la CIIAI précise qu'il incombe à l'office AI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Dans les cas énumérés au n° 8130 CIIAI – en particulier lors de la</w:t>
      </w:r>
    </w:p>
    <w:p>
      <w:r>
        <w:t>- 16 - révision d'office en cas de modification de l'impotence ou du besoin d'assistance –, l'office AI procède toujours à une enquête sur place. Dans les autres cas, il peut décider de ne pas le faire (cf. n° 8131 CIIAI dans sa teneur inchangée depuis le 1er janvier 2012, la version antérieure applicable jusqu'au 31 décembre 2011 prévoyant quant à elle que «Dans les cas énumérés au n° 8130, l'office AI procède toujours à une enquête sur place et demande le visa du SMR concernant les indications fournies dans le rapport d'enquête. Dans les autres cas, il peut décider de ne pas procéder à une enquête sur place»). Pour le reste, la Circulaire sur la procédure dans l'assurance-invalidité (ci-après : la CPAI) est applicable (cf. n° 8133 CIIAI). Celle-ci aborde en particulier la question de l'enquête sur place (cf. n° 2114 ss CPAI) et précise que fait notamment partie de l'enquête l'interrogation de l'assuré, le cas échéant de son représentant légal, à son lieu de travail, à domicile ou en institution (cf. n° 2116 CPAI). c) En ce qui concerne la question de savoir dans quelles circonstances un rapport consécutif à une enquête sur place (au sens de l'art. 69 al. 2 RAI) peut se voir reconnaître valeur probante pour l'évaluation du degré d'impotence, la jurisprudence retient qu'il est essentiel que le rapport en cause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 TF 9C_907/2011 du 21 mai 2012 consid. 2). Ces principes peuvent être repris lorsque, comme en l’espèce, est seul litigieux l'examen plus</w:t>
      </w:r>
    </w:p>
    <w:p>
      <w:r>
        <w:t>- 17 - spécifique du supplément pour soins intenses destiné à un(e) mineur(e) impotent(e).</w:t>
      </w:r>
    </w:p>
    <w:p>
      <w:r>
        <w:rPr>
          <w:b/>
        </w:rPr>
        <w:t>E. 6</w:t>
      </w:r>
    </w:p>
    <w:p>
      <w:r>
        <w:t>a) En l’occurrence, la recourante soutient qu’elle nécessite de l’aide permanente pour suivre un traitement d’une durée supérieure à huit heures par jour, sa situation, restée stable, n’ayant pas connu d’amélioration notable. Pour l’intéressée, respectivement ses parents, le rapport d’enquête du 14 novembre 2015 ne reflétait pas la réalité. Pour l’intimé, bien qu’une nécessité amoindrie de l’aide permanente pour suivre un traitement ne préjugeait pas de l’état de santé de la recourante, le supplément pour soins intenses, au vu des conclusions du rapport d’enquête précité, ne se justifiait plus. b) Le rapport d’enquête domiciliaire du 14 février 2011 estimait la durée de l’aide permanente pour suivre un traitement à 8 heures et 14 minutes. Quant à celui établi en date du 14 novembre 2015, il retient que l’aide en question ne se montait plus qu’à 3 heures et 37, soit une baisse de près de la moitié. A la lecture des rapports précités, on observe que cette diminution porte sur le temps consacré à la physiothérapie respiratoire, soit une durée de 4 heures et 25 minutes par jour retenue en 2011 passant à une heure et 17 minutes par jour (rapport du 14 novembre 2015). Comme le relève la recourante, cette baisse n’est aucunement motivée dans le rapport contesté. Une telle baisse devrait assurément laisser présager une amélioration sensible des fonctions respiratoires de la recourante. Cependant, outre le fait qu’il est notoire que la mucoviscidose est une maladie incurable impliquant à terme une inévitable, et fatale, péjoration de l’état de santé du patient, aucune amélioration durable ne ressort des pièces médicales versées au dossier. En effet, si le Dr M.________ relève une progression au niveau respiratoire dans un rapport de consultation du 28 août 2013, les capacités pulmonaires de la recourante restent abaissées sans signes cliniques d’exacerbations pulmonaires en février 2014 (rapport du 12 février 2014). Dans son rapport du 19 septembre 2014, ce médecin a certes conclu à des fonctions pulmonaires stables, mais cela ne signifie nullement que, d’un point de vue médical, l’état de santé de la recourante, fluctuant dans le</w:t>
      </w:r>
    </w:p>
    <w:p>
      <w:r>
        <w:t>- 18 - meilleur des cas, ait connu une amélioration notable et durable pouvant justifier une baisse importante du traitement pulmonaire physiothérapeutique. Par ailleurs, dans un rapport établi le 1er octobre 2014, le Dr M.________ rappelait la nécessité d’un traitement respiratoire avec inhalations de médicaments, de physiothérapie respiratoire quotidienne et, selon l’état de santé actuel, du concours d’une physiothérapeute professionnelle plusieurs fois par semaine. La nécessité d’un tel traitement a été confirmée par attestation du 6 juillet 2016 émanant de R.________, physiothérapeute traitant de la recourante. Ce dernier retenait une durée de physiothérapie journalière de 5 heures et 31 minutes, justifiant la durée quotidienne retenue par l’énumération des postes nécessaires au déroulement du traitement physiothérapeutique. d) Compte tenu des éléments médicaux à disposition, lesquels ne rendent compte d’aucune amélioration notable et durable de l’état de santé de la recourante, de la prise de position du physiothérapeute traitant ainsi que des arguments portés devant la Cour de céans par les parents de l’assurée, les conclusions du rapport d’enquête du 14 novembre 2015 quant au temps consacré à la dispense de soins intenses s’avèrent objectivement contredites et, partant, ne sauraient être suivies.</w:t>
      </w:r>
    </w:p>
    <w:p>
      <w:r>
        <w:rPr>
          <w:b/>
        </w:rPr>
        <w:t>E. 7</w:t>
      </w:r>
    </w:p>
    <w:p>
      <w:r>
        <w:t>a) Au vu de ce qui précède, une modification notable de l’état de fait propre à justifier une baisse importante de la durée de l’aide quotidienne consacrée au traitement de la recourante, fait défaut. Il se justifie donc d’admettre le recours et d’annuler la décision attaquée, le droit aux prestations litigieuses subsistant dans la durée. La cause est ainsi renvoyée à l’intimé, qui procédera le cas échéant à un complément d’instruction du cas dans le respect des règles de la révision du droit aux prestations dont il est question. b) En dérogation à l’art. 61 let. a LPGA, la procédure de recours en matière de contestation portant sur l’octroi ou le refus de prestations de l’assurance-invalidité devant le tribunal cantonal des assurances est soumise à frais de justice (art. 69 al. 1bis première phrase</w:t>
      </w:r>
    </w:p>
    <w:p>
      <w:r>
        <w:t>- 19 - LAI). En l'espèce, les frais de justice doivent être fixés à 400 fr. et mis à la charge de l'OAI, qui succombe. c) Il n’y a pas lieu d’allouer de dépens, la recourante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