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ZD16.013807 vom 9. Februar 2017</w:t>
      </w:r>
    </w:p>
    <w:p>
      <w:r>
        <w:t>VD Tribunal cantonal, 2017-02-09, FR</w:t>
      </w:r>
    </w:p>
    <w:p>
      <w:r>
        <w:rPr>
          <w:b/>
        </w:rPr>
        <w:t xml:space="preserve">Quelle: </w:t>
      </w:r>
      <w:r>
        <w:t>https://mcp.opencaselaw.ch/entscheid/vd_gerichte_ZD16.013807</w:t>
      </w:r>
    </w:p>
    <w:p>
      <w:r>
        <w:t>FR: VD_GERICHTE ZD16.013807 du 9 février 2017</w:t>
      </w:r>
    </w:p>
    <w:p>
      <w:r>
        <w:t>IT: VD_GERICHTE ZD16.013807 del 9 febbraio 2017</w:t>
      </w:r>
    </w:p>
    <w:p>
      <w:pPr>
        <w:pStyle w:val="Heading2"/>
      </w:pPr>
      <w:r>
        <w:t>Erwägungen</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w:t>
      </w:r>
    </w:p>
    <w:p>
      <w:r>
        <w:t>- 18 -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Les rapports d'examen réalisés par un SMR en vertu de l'art. 49 al. 2 RAI (règlement du 17 janvier 1961 sur l’assurance-invalidité ; RS 831.201), bien qu’ils ne constituent pas des expertises au sens de l'art. 44 LPGA et ne soient pas soumis aux mêmes exigences formelles (cf. ATF 135 V 254 consid. 3.4), peuvent néanmoins revêtir la même valeur probatoire que des expertises, dans la mesure où ils satisfont aux exigences définies par la jurisprudence, qui sont posées à une expertise médicale (cf. TF 9C_355/2014 du 2 décembre 2014 consid. 4.2 et 9C_500/2011 du 26 mars 2012 consid. 3.1 ; cf. également consid. 3.3.2 non publié de l'ATF 135 V 254 [TF 9C_204/2009 du 6 juillet 2009]).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du</w:t>
      </w:r>
    </w:p>
    <w:p>
      <w:r>
        <w:rPr>
          <w:b/>
        </w:rPr>
        <w:t>E. 6</w:t>
      </w:r>
    </w:p>
    <w:p>
      <w:r>
        <w:t>octobre 2011 et 9C_745/2010 du 30 mars 2011).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w:t>
      </w:r>
    </w:p>
    <w:p>
      <w:r>
        <w:t>- 19 - 351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mars 2014 par le Dr B.________, spécialiste en médecine physique et réadaptation, et le Dr V.________, psychiatre. Dans leur dernier rapport du 2 juin 2014, cosigné par le Dr W.________, spécialiste en médecine physique et réadaptation et rhumatologue, ces médecins ont retenu que l’assurée souffrait de cervicalgies chroniques, qu’ils ont jugées non déficitaires, dans un contexte de status post décompression du canal cervical étroit et de protrusions disco-ostéophytaires étagées, ainsi que de lombalgies chroniques dégénératives avec un canal lombaire étroit traité, ces atteintes étant incapacitantes. Ils ont également posé les diagnostics de syndrome du tunnel carpien bilatéral, de syndrome douloureux de type fibromyalgie, de dysthymie et de majoration des douleurs physiques pour des raisons psychologiques, estimant toutefois que ces pathologies restaient sans incidence sur la capacité de travail. Au plan neurologique, les médecins du SMR ont estimé que les examens qu’ils avaient conduits permettaient d’exclure toute myélopathie et atteinte radiculaire.</w:t>
      </w:r>
    </w:p>
    <w:p>
      <w:r>
        <w:t>- 20 - De son côté, la recourante a remis en question la valeur probante de ce rapport, au motif que les médecins du SMR n’avaient pas les compétences requises pour évaluer son état de santé au plan neurologique, et que leurs conclusions étaient au demeurant incomplètes. a) Il convient tout d’abord de relever à cet égard que, selon la jurisprudence du Tribunal fédéral, la valeur probante d'une expertise dans une discipline médicale particulière dépend du point de savoir si l'expert dispose d'une formation spécialisée dans le domaine concerné. Le titre de spécialiste (FMH) n'en est en revanche pas une condition (TF 9C_270/2008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Ce qui précède vaut également pour les rapports établis par un SMR (TF 9C_323/2009 du 14 juillet 2009 consid. 4.3.1, I 142/07 du 20 novembre 2007 consid. 3.2.3). En l’occurrence, force est de constater que ni les médecins examinateurs, ni le médecin formateur, cosignataire du rapport, ne sont titulaires d’une spécialisation en neurologie. Or, compte tenu des atteintes présentées par la recourante, et de son long passé neurologique ayant nécessité plusieurs interventions chirurgicales, une appréciation neurologique complète et fouillée s’imposait. On ne suit pas l’intimé lorsqu’il se défend d’un défaut de compétence des médecins du SMR au motif qu’ils sont spécialistes en rhumatologie et en psychiatrie, cet argument allant précisément dans le sens d’une absence de formation spécialisée dans un des domaines concernés par la cause, pourtant essentiel (cf. lettre de motivation du 1er mars 2016 de l’OAI). Les explications fournies par l’OAI dans sa réponse au recours ne sont pas plus</w:t>
      </w:r>
    </w:p>
    <w:p>
      <w:r>
        <w:t>- 21 - convaincantes. Le fait que les médecins du SMR se soient prononcés en tenant compte des appréciations du DrM.________ ne permet pas de pallier cette absence de compétence spécialisée. Contrairement à ce qu’affirme l’intimé, les spécialités des trois médecins du SMR ne permettent pas d’appréhender l’état de santé somatique de la recourante dans sa globalité. Cette irrégularité suffit déjà à remettre en cause la force probante du rapport du 2 juin 2014 du SMR. b) Il convient également de relever qu’en sus, et vraisemblablement en raison de cette absence de spécialisation, le rapport du SMR reste extrêmement succinct et peu motivé sur le plan neurologique. Si l’aspect rhumatologique a fait l’objet d’examens et discussions fournis, l’investigation du volet neurologique est restée très sommaire. Au terme du status neurologique, comptant moins de dix lignes, les examinateurs ont exclu que l’assurée soit affectée d’une myélopathie ou d’une atteinte radiculaire. Or, figurent au dossier de nombreux éléments plaidant en faveur d’atteintes neurologiques, dont il était impératif de faire examiner plus précisément la nature exacte et les conséquences sur la capacité de travail. Les différents médecins s’entendent ainsi pour admettre que l’assurée a présenté une myélopathie, tout au moins dès l’automne 2011, voire depuis le début de cette même année déjà (cf. rapports de la Dresse X.________ du 15 novembre 2011, du Dr M.________ du 24 janvier 2012, du Dr G.________ du 21 février 2012). Dans son avis du 26 mars 2012, le Dr P.________ a estimé que les signes objectifs cliniques et radiologiques de myélopathie cervicale justifiaient une totale incapacité. Par contre, la situation manque de clarté s’agissant de l’état neurologique cervical à la suite de la décompression du canal cervical étroit, le 13 mars 2012 par la Dresse X.________. On rappellera à cet égard que la Dresse X.________ avait demandé à l’OAI que la capacité de travail de l’assurée dans son activité habituelle et dans une activité adaptée soit réévaluée après la décompression du canal cervical étroit (cf. rapport du 20 février 2012). Le Dr P.________ avait également préconisé, le 26 mars 2012, de reprendre l’instruction six mois plus tard, pour connaître la</w:t>
      </w:r>
    </w:p>
    <w:p>
      <w:r>
        <w:t>- 22 - situation après stabilisation de l’état, notamment en interrogeant le service de neurologie du C.________. Or, force est de constater que, si l’OAI a bien interrogé ledit service en automne 2012, les éléments qu’il a obtenus ne suffisaient pas à se prononcer valablement sur l’état de santé de l’assurée au plan neurologique, et sa répercussion sur sa capacité de travail. Certes, comme le relèvent les médecins du SMR, le Dr E.________ du C.________ a fait état, dans un bref rapport du 22 octobre 2012, d’un status dans les normes et d’un état stabilisé sur le plan neurochirurgical ensuite de la décompression cervicale. Toutefois, s’il a observé une bonne évolution post-opératoire, il a également relevé la persistance d’une limitation au niveau cervical, comportant une répercussion pour l’assurance-invalidité. Quant au rapport du 3 juillet 2012 des Drs L.________ et E.________, il n’aborde pas la question de la capacité de travail. Il fait par contre état, au status neurologique, d’une limitation cervicale sévère. Finalement, le seul neurologue à s’être prononcé sur la capacité de travail de l’assurée après la décompression cervicale est le Dr M.________, qui a estimé le 1er juin 2015 que sa patiente était en totale incapacité de travail, sans toutefois préciser si son appréciation concernait toute activité, ou seulement l’activité habituelle. Il convient de relever que, dans son rapport du 24 janvier 2012, alors que seule la décompression lombaire avait eu lieu, il avait estimé qu’un délai de deux à trois ans était nécessaire pour évaluer les effets des interventions chirurgicales réalisées ou à venir. Le 1er juin 2015, il a considéré, contrairement au SMR, que sa patiente était toujours atteinte de myélopathie, accompagnée de séquelles neurologiques probablement définitives aux quatre membres. A son avis, l’évolution post-opératoire de la décompression cervicale avait été globalement défavorable. L’intervention n’avait pas apporté de soulagement significatif à l’assurée, hormis un certain soulagement antalgique post-opératoire transitoire. La Dresse X.________ avait d’ailleurs elle-même mis en garde sur les effets potentiellement limités d’une décompression cervicale avant l’intervention, lorsqu’elle avait indiqué que la chirurgie en question tendait à empêcher une aggravation de la myélopathie, mais que les symptômes de la maladie, tels que le déficit de force au niveau des quatre membres</w:t>
      </w:r>
    </w:p>
    <w:p>
      <w:r>
        <w:t>- 23 - et les troubles sphinctériens, pouvaient rester permanents, malgré l’intervention (cf. rapport du 15 novembre 2011 au Dr M.________). Dans son rapport du 1er juin 2015, le Dr M.________ a ajouté que la décompression lombaire pratiquée par la Dresse X.________ en septembre 2011 avait libéré l’assurée des sciatalgies, mais n’avait pas apporté d’amélioration de la marche, qui se bloquait, avec menace de chute et trouble de l’équilibre. On notera à cet égard que la Dresse X.________ avait indiqué dans son rapport du 15 novembre 2011 que l’évolution ensuite de l’intervention lombaire n’avait été que « légèrement favorable » ; l’assurée présentait toujours des signes cliniques importants d’une myélopathie cervicale, des douleurs lombaires et cervicales, des légers troubles de la motricité fine des membres supérieurs, une marche insécure et des réflexes ostéotendineux hypervifs. Pour le Dr M.________, les cervico-brachialgies avec limitation de mouvements et, à moindre degré, les lombalgies, avaient augmenté de manière considérable. Au status neurologique du 22 mars 2015, il avait observé une raideur de la nuque, une hypertonie pyramidale des quatre membres avec une hyperréflexie ostéotendineuse. A noter que des réflexes ostéo tendineux vifs, voire hypervifs, ont également été constatés par d’autres médecins, avant, mais également après la décompression du canal cervical étroit (cf. rapport des Drs L.________ et E.________ du 3 juillet 2012, rapport du SMR du 8 avril 2014, rapport du la Dresse H.________ du 4 mars 2014). L’examen du SMR a en outre mis en évidence de nombreux lâchages (que les examinateurs avaient qualifiés d’antalgiques, sans toutefois motiver leur appréciation), une oscillation au test de Romberg ainsi qu’une sensibilité vibratoire réduite aux deux poignets. c) En définitive, compte tenu de la complexité de la situation telle que définie ci-dessus, l’appréciation et les conclusions du SMR s’agissant des atteintes neurologiques et de leurs effets sur la capacité de travail, outre le fait qu’elles n’émanent pas d’un spécialiste en neurologie, ne sont pas suffisamment complètes et motivées pour permettre au tribunal de se prononcer en toute connaissance de cause. Même si le</w:t>
      </w:r>
    </w:p>
    <w:p>
      <w:r>
        <w:t>- 24 - rapport produit par la recourante au stade de la procédure d’audition émane de son neurologue traitant, il n’en demeure pas moins qu’il provient d’un spécialiste et qu’il ne peut être simplement écarté du fait du lien qui existe entre le praticien et son patient. L’avis du Dr M.________ suffit en tous les cas à jeter un doute sur la fiabilité et la validité des constatations médicales du SMR, de sorte que la mise en œuvre d’une expertise s’impose. d) La même conclusion s’impose s’agissant de la fibromyalgie retenue par les médecins du SMR. Les éléments figurant au dossier ne permettent pas une appréciation concluante du cas d’espèce à l’aune des indicateurs déterminants selon la jurisprudence du Tribunal fédéral. Tout d’abord, à l’instar du service juridique de l’OAI, on peut s’interroger sur le fait de savoir si le diagnostic a été posé dans les règles de l’art, comme l’exige la Haute Cour. Le Dr B.________ s’est en effet limité à constater la présence de 17 sur 18 points douloureux spécifiques de la fibromyalgie, sans fonder plus avant le diagnostic. Le rapport du SMR ne renseigne pas sur son degré de gravité inhérent, en faisant référence aux limitations fonctionnelles constatées. En outre, en présence d’une situation somatique non clairement définie, et qui nécessite d’être instruite plus avant (cf. consid. 5a supra), il n’est à ce stade pas possible de procéder à une approche globale des interactions et autres liens entre la fibromyalgie et tous les autres troubles concomitants qui ont valeur de maladie, comme le Tribunal fédéral l’exige dorénavant (ATF 141 V 281). Il apparaît ainsi également nécessaire de compléter l’instruction du dossier s’agissant de la fibromyalgie et de ses répercussions sur la capacité de travail, étant relevé que dans un arrêt du 19 octobre 2016, le Tribunal fédéral a précisé qu’une exagération des symptômes par l’assuré ne doit pas permettre d’exclure facilement la présence d’une atteinte à la santé assurée. Cela ne doit être possible que si, dans le cas concret, il découle de manière plausible de l’analyse médicale que l’exagération, clairement prouvée, prédomine de manière significative, et qu’elle excède la mesure d’un comportement simplement démonstratif. Il faut en outre que l’exagération ne soit pas la conséquence d’un diagnostic psychiatrique indépendant (cf. TF 9C_154/2016 du 19 octobre 2016). On relèvera à cet égard que les</w:t>
      </w:r>
    </w:p>
    <w:p>
      <w:r>
        <w:t>- 25 - médecins du SMR ont retenu le diagnostic de majoration de douleurs physiques pour des raisons psychologiques (F68.0). e) Au final, il appert que le rapport du 2 juin 2014 du SMR ne permet pas d’apprécier valablement les atteintes à la santé de la recourante dans leur globalité, et leur répercussion sur sa capacité de travail et de gain. Ledit rapport reste trop peu détaillé, singulièrement s’agissant des atteintes neurologiques et de la fibromyalgie, l’analyse opérée par les médecins sur ces plans étant restée particulièrement succincte. Ces éléments tendent à affaiblir considérablement sa valeur probante. La Cour de céans ne dispose pas d’informations médicales suffisantes pour trancher la question du droit aux prestations de l’assurée en toute connaissance de cause. Il se justifie dès lors de renvoyer la cause à l’OAI, dès lors qu’il lui appartient au premier chef d’instruire conformément au principe inquisitoire qui régit la procédure dans le domaine des assurances sociales (art. 43 LPGA). Le devoir d’instruction s’étend en effet jusqu’à ce que les faits nécessaires à l’examen des prétentions en cause soient suffisamment élucidés (TF 8C_364/201 du 19 novembre 2007 consid. 3.2). Il incombera à l’intimé de mettre en œuvre une expertise pluridisciplinaire au sens de l’art. 44 LPGA, contenant au moins des volets neurologique, rhumatologique et psychiatrique, demeurant réservée la faculté d’y associer, le cas échéant, toute autre spécialité jugée opportune. L’intimé rendra ensuite une nouvelle décision sur le droit de la recourante à des prestations de l’assurance-invalidité 6.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de justice. Le montant des frais est fixé en fonction de la</w:t>
      </w:r>
    </w:p>
    <w:p>
      <w:r>
        <w:t>- 26 -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200 fr. et mis à la charge de l’intimé, qui succombe. c) La recourante, qui, si elle n’est désormais plus assistée d’un avocat, l’a été durant toute la procédure, et qui obtient gain de cause, a droit à des dépens (cf. art. 61 let. g LPGA), qu’il convient d’arrêter à 2’500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