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ZD16.012802 vom 22. Juni 2018</w:t>
      </w:r>
    </w:p>
    <w:p>
      <w:r>
        <w:t>VD Tribunal cantonal, 2018-06-22, FR</w:t>
      </w:r>
    </w:p>
    <w:p>
      <w:r>
        <w:rPr>
          <w:b/>
        </w:rPr>
        <w:t xml:space="preserve">Quelle: </w:t>
      </w:r>
      <w:r>
        <w:t>https://mcp.opencaselaw.ch/entscheid/vd_gerichte_ZD16.012802</w:t>
      </w:r>
    </w:p>
    <w:p>
      <w:r>
        <w:t>FR: VD_GERICHTE ZD16.012802 du 22 juin 2018</w:t>
      </w:r>
    </w:p>
    <w:p>
      <w:r>
        <w:t>IT: VD_GERICHTE ZD16.012802 del 22 giugno 2018</w:t>
      </w:r>
    </w:p>
    <w:p>
      <w:pPr>
        <w:pStyle w:val="Heading2"/>
      </w:pPr>
      <w:r>
        <w:t>Erwägungen</w:t>
      </w:r>
    </w:p>
    <w:p>
      <w:r>
        <w:rPr>
          <w:b/>
        </w:rPr>
        <w:t>E. 5</w:t>
      </w:r>
    </w:p>
    <w:p>
      <w:r>
        <w:t>avril 2007 consid. 4.4). Quant au fait qu’il voit son taux d’activité réduit à 50%, le recourant est légitimé à se prévaloir de la prise en compte d’un abattement de 5% au maximum lié à ce facteur, tel qu’admis par l’intimé dans sa réponse. cc) Le salaire avec invalidité s’élève en conséquence à 20'599 fr. 40 ([21'683 fr. 60 x 95] / 100), le taux d’invalidité étant dès lors de</w:t>
      </w:r>
    </w:p>
    <w:p>
      <w:r>
        <w:t>- 26 - 69.12% ([{66'718 fr. 80 – 20'599 fr. 40} x 100] / 66'718 fr. 80), arrondi à 69% (cf. ATF 131 V 121) ainsi que le retient à raison l’OAI au terme de sa réponse. C’est en définitive à tort que le recourant conteste le droit à trois quarts de rente dès le 1er mars 2015.</w:t>
      </w:r>
    </w:p>
    <w:p>
      <w:r>
        <w:rPr>
          <w:b/>
        </w:rPr>
        <w:t>E. 7</w:t>
      </w:r>
    </w:p>
    <w:p>
      <w:r>
        <w:t>Sur le vu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 art. 55 al. 1 LPA-VD). c) Le recourant bénéficie, au titre de l'assistance judiciaire, de la commission d'office d'un avocat en la personne de Me Alain Pichard. Sur la base de la liste des opérations produite le 3 octobre 2017, il convient d'arrêter à 2'235 fr. l'indemnité de Me Pichard, correspondant à douze heures et vingt-cinq minutes de travail, sur la base d'un tarif horaire de 180 fr., somme à laquelle s'ajoutent les débours par 72 fr. 50 (cf. art. 3 al. 3 RAJ [Règlement du 7 décembre 2010 sur l'assistance judiciaire en matière civile ; RSV 211.02.3]) et la TVA au taux de 8%, ce qui représente un montant total de 2'492 fr. 10 pour l'ensemble de l'activité déployée dans la présente cause.</w:t>
      </w:r>
    </w:p>
    <w:p>
      <w:r>
        <w:t>- 27 - d) Le recourant est rendu attentif au fait qu’il devra rembourser les frais judiciaires et l’indemnité du conseil d’office dès qu’il sera en mesure de le faire (art. 123 al. 1 CPC [Code de procédure civile du 19 décembre 2008 ; RS 272];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