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ZD16.012542 vom 23. Oktober 2017</w:t>
      </w:r>
    </w:p>
    <w:p>
      <w:r>
        <w:t>VD Tribunal cantonal, 2017-10-23, FR</w:t>
      </w:r>
    </w:p>
    <w:p>
      <w:r>
        <w:rPr>
          <w:b/>
        </w:rPr>
        <w:t xml:space="preserve">Quelle: </w:t>
      </w:r>
      <w:r>
        <w:t>https://mcp.opencaselaw.ch/entscheid/vd_gerichte_ZD16.012542</w:t>
      </w:r>
    </w:p>
    <w:p>
      <w:r>
        <w:t>FR: VD_GERICHTE ZD16.012542 du 23 octobre 2017</w:t>
      </w:r>
    </w:p>
    <w:p>
      <w:r>
        <w:t>IT: VD_GERICHTE ZD16.012542 del 23 ottobre 2017</w:t>
      </w:r>
    </w:p>
    <w:p>
      <w:pPr>
        <w:pStyle w:val="Heading2"/>
      </w:pPr>
      <w:r>
        <w:t>Erwägungen</w:t>
      </w:r>
    </w:p>
    <w:p>
      <w:r>
        <w:rPr>
          <w:b/>
        </w:rPr>
        <w:t>E. 4</w:t>
      </w:r>
    </w:p>
    <w:p>
      <w:r>
        <w:t>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w:t>
      </w:r>
    </w:p>
    <w:p>
      <w:r>
        <w:t>- 23 -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b) L’assuré a droit à un quart de rente s'il est invalide à 40 % au moins, à une demi-rente s'il est invalide à 50 % au moins, aux trois- quarts d'une rente s'il est invalide à 60 % au moins et à une rente entière s'il est invalide à 70 % au moins (art. 28 al. 2 LAI, dans sa version en vigueur depuis le 1er janvier 2008).</w:t>
      </w:r>
    </w:p>
    <w:p>
      <w:r>
        <w:rPr>
          <w:b/>
        </w:rPr>
        <w:t>E. 5</w:t>
      </w:r>
    </w:p>
    <w:p>
      <w:r>
        <w:t>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w:t>
      </w:r>
    </w:p>
    <w:p>
      <w:r>
        <w:rPr>
          <w:b/>
        </w:rPr>
        <w:t>E. 6</w:t>
      </w:r>
    </w:p>
    <w:p>
      <w:r>
        <w:t>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w:t>
      </w:r>
    </w:p>
    <w:p>
      <w:r>
        <w:t>- 24 - (ATF 125 V 256 consid. 4; 115 V 133 consid. 2; 114 V 310 consid. 3c et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9C_94/2014 du 2 avril 2014 consid. 4.1 et 8C_862/2008 du 19 août 2009 consid. 4.2). b) La jurisprudence attache une présomption d'objectivité aux expertises confiées par l'administration à des médecins spécialistes</w:t>
      </w:r>
    </w:p>
    <w:p>
      <w:r>
        <w:t>- 25 -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TF 9C_803/2013 du 13 février 2014 consid. 3.1, 9C_298/2009 du 3 février 2010 consid. 2.2 et 9C_603/2009 du 2 février 2010 consid. 3.2). c)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9C_83/2013 et 9C_104/2013 du 9 juillet 2013 consid. 4.2, 9C_426/2011 du 14 décembre 2011 consid. 4.3 et 9C_854/2010 du 30 décembre 2010 consid. 3.2 et les références citées; TFA 762/2002 du 6 mai 2003 consid. 2). Cela étant, les organes d'observation professionnelle ont pour fonction de compléter les données médicales en examinant concrètement dans quelle mesure un assuré est à même de mettre en valeur une capacité de travail et de gain sur le marché du travail (ATF 107 V 17</w:t>
      </w:r>
    </w:p>
    <w:p>
      <w:r>
        <w:t>- 26 - consid. 2b; TF 9C_136/2014 du 24 juin 2014 consid. 3.3, 9C_83/2013 et 9C_104/2013 du 9 juillet 2013 consid. 4.2, 9C_739/2010 du 1er juin 2011 consid. 2.3 et les références citées).</w:t>
      </w:r>
    </w:p>
    <w:p>
      <w:r>
        <w:rPr>
          <w:b/>
        </w:rPr>
        <w:t>E. 7</w:t>
      </w:r>
    </w:p>
    <w:p>
      <w:r>
        <w:t>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w:t>
      </w:r>
    </w:p>
    <w:p>
      <w:r>
        <w:t>- 30 - conséquences fonctionnelles négatives, elles doivent être, comme par le passé, mises de côté;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Dans le cas présent, l’expert psychiatre du W.________, qui a posé le diagnostic de majoration de symptômes physiques pour des raisons psychologiques, a examiné la capacité de travail du recourant au regard d’un seul critère dégagé par l'ancienne jurisprudence sur les troubles somatoformes douloureux (l’absence de repli social) de sorte que ses conclusions ne peuvent être suivies telles quelles. Les éléments figurant au dossier ne permettent en outre pas à la Cour de céans de</w:t>
      </w:r>
    </w:p>
    <w:p>
      <w:r>
        <w:t>- 31 - déterminer la capacité de travail du recourant réellement exigible au moyen d'un catalogue d'indicateurs. En conséquence, la mise en œuvre d’une expertise psychiatrique, voire bidisciplinaire (psychiatrie, médecine interne, rhumatologie), est nécessaire afin d’évaluer, au regard des nouveaux principes applicables en la matière, la pertinence du diagnostic de trouble somatoforme douloureux et son éventuel caractère invalidant.</w:t>
      </w:r>
    </w:p>
    <w:p>
      <w:r>
        <w:rPr>
          <w:b/>
        </w:rPr>
        <w:t>E. 8</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9C_16212007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celle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au vu des lacunes d'instruction, il s'avère que les faits pertinents n'ont pas été constatés de manière complète. Il se</w:t>
      </w:r>
    </w:p>
    <w:p>
      <w:r>
        <w:t>- 32 - justifie par conséquent d'ordonner le renvoi de la cause à l'OAI – auquel il appartient au premier chef d'instruire, conformément au principe inquisitoire qui régit la procédure dans le domaine des assurances sociales, selon l'art. 43 al. 1 LPGA. L'intimé rendra ensuite une nouvelle décision après avoir complété l'instruction du dossier sur le plan médical par une évaluation psychiatrique, voire bidisciplinaire. Il aura aussi à tenir compte de l'évolution de l'état de santé su recourant sur le plan somatique depuis l'examen du Dr R.________. c) Compte tenu de l'issue du litige, la Cour de céans renonce à examiner les autres arguments invoqués par le recourant.</w:t>
      </w:r>
    </w:p>
    <w:p>
      <w:r>
        <w:rPr>
          <w:b/>
        </w:rPr>
        <w:t>E. 9</w:t>
      </w:r>
    </w:p>
    <w:p>
      <w:r>
        <w:t>a) En conséquence, le recours doit être admis et la cause renvoyée à l'OAI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dont le montant est fixé en fonction de la charge liée à la procédure, indépendamment de la valeur litigieuse. En l’espèce, compte tenu de l’ampleur de la procédure, les frais de justice doivent être arrêtés à 400 fr. et mis à la charge de l’intimé, qui succombe (cf. art. 69 al. 1bis LAI et 49 al. 1 LPA-VD). Obtenant gain de cause avec l’assistance d’un mandataire professionnel, le recourant a droit à une indemnité de dépens à titre de participation aux honoraires de son conseil, qu’il convient en l’espèce d’arrêter à 2'000 fr. (cf. art. 61 let. g LPGA ; cf. également art. 11 TFJDA [tarif du 28 avril 2015 des frais judiciaires et des dépens en matière administrative ; RSV 173.36.5.1]).</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