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ZD16.009933 vom 14. Juni 2018</w:t>
      </w:r>
    </w:p>
    <w:p>
      <w:r>
        <w:t>VD Tribunal cantonal, 2018-06-14, FR</w:t>
      </w:r>
    </w:p>
    <w:p>
      <w:r>
        <w:rPr>
          <w:b/>
        </w:rPr>
        <w:t xml:space="preserve">Quelle: </w:t>
      </w:r>
      <w:r>
        <w:t>https://mcp.opencaselaw.ch/entscheid/vd_gerichte_ZD16.009933</w:t>
      </w:r>
    </w:p>
    <w:p>
      <w:r>
        <w:t>FR: VD_GERICHTE ZD16.009933 du 14 juin 2018</w:t>
      </w:r>
    </w:p>
    <w:p>
      <w:r>
        <w:t>IT: VD_GERICHTE ZD16.009933 del 14 giugno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- 11 -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a été interjeté en temps utile. Les exigences de forme prévues par la loi, au sens notamment de l’art. 61 let. b LPGA, ont par ailleurs été respectées. Le recours est en conséquence recevable quant à la forme de sorte qu’il y a lieu d’entrer en matière sur le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En l'espèce, est litigieuse la question de savoir si la recourante présente, en raison d'une atteinte à sa santé psychique, une diminution de sa capacité de travail et de sa capacité de gain susceptible de lui ouvrir le droit à des prestations de l’assurance-invalidité. Il est rappelé que la date butoir déterminante est celle de la décision attaquée. c) Au vu du rapport médical du Dr M.________ et de ses compléments ainsi que de l’expertise commandée par l’OAI telle que réalisée par le Dr G.________, respectivement de leur divergence tant sur le diagnostic que sur la capacité de travail de l’assurée, un expert judiciaire a été désigné.</w:t>
      </w:r>
    </w:p>
    <w:p>
      <w:r>
        <w:t>- 12 -</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L'assuré a droit à une rente s'il est invalide à 40% au moins (art. 28 al. 1 let. c LAI) et peut en outre prétendre à une mesure de reclassement s’il est invalide à 20% environ (ATF 139 V 399 consid. 5.3, 130 V 488 consid. 4.2 et 124 V 108 consid. 2b). c) Les atteintes à la santé psychique peuvent, comme les atteintes physiques, entraîner une invalidité au sens de l’art. 4 al. 1 LAI en lien avec l’art. 8 LPGA.</w:t>
      </w:r>
    </w:p>
    <w:p>
      <w:r>
        <w:rPr>
          <w:b/>
        </w:rPr>
        <w:t>E. 4</w:t>
      </w:r>
    </w:p>
    <w:p>
      <w:r>
        <w:t>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w:t>
      </w:r>
    </w:p>
    <w:p>
      <w:r>
        <w:t>- 13 - 256 consid. 4, 115 V 133 consid. 2,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w:t>
      </w:r>
    </w:p>
    <w:p>
      <w:r>
        <w:t>- 14 - une interprétation divergente des conclusions de ce dernier par le juge ou, au besoin, une instruction complémentaire sous la forme d'une nouvelle expertise médicale (ATF 125 V 352 consid. 3b/aa et les références citées ; TF 9C_803/2013 du 13 février 2014 consid. 3.1). d)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w:t>
      </w:r>
    </w:p>
    <w:p>
      <w:r>
        <w:rPr>
          <w:b/>
        </w:rPr>
        <w:t>E. 5</w:t>
      </w:r>
    </w:p>
    <w:p>
      <w:r>
        <w:t>a) Dans son expertise du 20 août 2017, le Dr S.________ a estimé que les deux pathologies psychiques diagnostiquées avaient un caractère invalidant. Il a retenu une incapacité de travail à hauteur de 40%, respectivement de 50% dès le mois de mai 2017. b) Dans deux arrêts récents (ATF 143 V 409 et 143 V 418), le Tribunal fédéral a modifié sa pratique lors de l’examen du droit à une rente AI en cas de troubles psychologiques. Il a considéré que même si la classification diagnostique est médicalement nécessaire et qu’un diagnostic posé selon les règles de l’art est indispensable, ce qui importe le plus est la question des effets fonctionnels d’un trouble sur la capacité de travail (ATF 143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Il a en substance retenu que pour les maladies psychiques, et non seulement dans le cas de troubles somatoformes, le substrat nécessaire à l’administration d’une preuve directe permettant de conclure à une</w:t>
      </w:r>
    </w:p>
    <w:p>
      <w:r>
        <w:t>- 15 - incapacité de travail faisait défaut. L’administration de la preuve doit donc se faire de manière indirecte, à l’aide d’indicateurs (ATF 143 V 418 consid. 7.1 et références citées). En fonction du tableau clinique, des ajustements devront être faits en conséquence lors de l’évaluation de certains indicateurs. Dans ce contexte, les Lignes directrices de qualité des expertises de psychiatrie d’assurance, établie le 16 juin 2016 par la Société suisse de psychiatrie et de psychothérapie (SSPP), faisant expressément référence à l’arrêt 141 V 281, gardent toute leur pertinence. Compte tenu du principe de proportionnalité, il peut être renoncé à cette méthode d’administration des preuves, lorsque, vu le besoin concret de preuves, une telle administration ne s’avère ni nécessaire, ni adéquate (ATF 143 V 418. 7.1 ; ATF 143 V 409 consid. 4.5.3). Il en résulte que le confinement de la démarche développée dans l’arrêt 141 V 281 aux troubles somatoformes et aux affections psychosomatiques assimilées ne se justifie pas. Une administration des preuves structurées similaire à celle de l’arrêt précité doit dès lors s’appliquer à toutes les maladies psychiques (ATF 143 V 418 consid. 7.2), dont les troubles affectifs et les troubles dépressifs de gravité légère ou moyenne ; le critère de la résistance à la thérapie ne peut à lui seul résoudre la question de l’incapacité de travail (ATF 143 V 418 consid. 7.1 ; ATF 143 V 409 consid. 4.4 et 4.5.2). c) Compte tenu de ce qui précède, il se justifie d’examiner les critères d’évaluation développés à l’ATF 141 V 281. Dans cet arrêt, le Tribunal fédéral a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w:t>
      </w:r>
    </w:p>
    <w:p>
      <w:r>
        <w:t>- 16 - le fardeau de la preuve matérielle incombe à la personne requérante (consid. 3.7 de l’arrêt cité). aa) La preuve d’un trouble somatoforme douloureux, et donc désormais de tout trouble psychique, suppose, en premier lieu, que l’atteinte soit diagnostiquée par l’expert selon les règles de l’art, en tenant compte en particulier du critère de gravité inhérent à ce diagnostic et en faisant référence aux limitations fonctionnelles constatées. Une fois le diagnostic posé, la capacité de travail réellement exigible doit être examinée au moyen d’un catalogue d’indicateurs (ATF 141 V 281 consid. 4.1.1). bb) La grille d’évaluation développée dans l’arrêt ATF 141 V 281 comprend un examen du degré de gravité fonctionnel de l’atteinte à la santé (funktioneller Schweregrad),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cc) La grille d’évaluation de la capacité résiduelle de travail comprend également un examen de la cohérence (Konsistenz) entre l’analyse du degré de gravité fonctionnel, d’une part, et la répercussion de l’atteinte dans les différents domaines de la vie et le traitement suivi, d’autre part. Il s’agit plus précisément de déterminer si l’atteinte à la</w:t>
      </w:r>
    </w:p>
    <w:p>
      <w:r>
        <w:t>- 17 -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d) Le Tribunal fédéral a précisé que ce changement de jurisprudence intervenu à l’arrêt 141 V 281 ne justifie pas en soi de retirer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(ATF 141 V 281, consid. 8, TF 9C_716/2015 du 30 novembre 2015, consid. 4.1 ; TAF C-1916/2015 du 31 mai 2016 et réf. cit.). N’étant pas remise en cause par les arrêts TF 8C_841/2016 et 8C_130/2017 du 30 novembre 2017, il y a lieu de se tenir à cette jurisprudence.</w:t>
      </w:r>
    </w:p>
    <w:p>
      <w:r>
        <w:rPr>
          <w:b/>
        </w:rPr>
        <w:t>E. 6</w:t>
      </w:r>
    </w:p>
    <w:p>
      <w:r>
        <w:t>a) L’expertise du 20 août 2017 établie par le Dr S.________ fait état d’une anamnèse riche et soignée. Elle se fonde en outre sur deux examens cliniques complets et consciencieux. D’excellente facture, elle expose une motivation claire concernant les diagnostics retenus, et les explications utiles à comprendre la divergence de position entre l’expert</w:t>
      </w:r>
    </w:p>
    <w:p>
      <w:r>
        <w:t>- 18 - et le Dr G.________ ; enfin, les considérations et les conclusions concernant la capacité de travail de l’assurée sont denses et détaillées. b) Cependant, afin de conférer pleine valeur probante à cette expertise judiciaire du 20 août 2017, antérieure à la nouvelle jurisprudence du Tribunal fédéral développée au considérant 5, il reste à déterminer si l’expert a dégagé une appréciation concluante de la capacité de travail de l’assurée au regard des indicateurs devenus depuis lors déterminants. aa) En premier lieu, les diagnostics ont été rendus de lege artis par l’expert, se rapportant à la codification internationale, soit la classification internationale des maladies, 10e révision (CIM-10). Dans le chapitre consacré au diagnostic, l’expert explique par ailleurs de manière détaillée en quoi son appréciation diffère de celle de ses deux confrères et les raisons pour lesquelles il n’a pas retenu d’autres pathologies envisageables. bb) En ce qui concerne le volet du degré de gravité fonctionnel de l’atteinte à la santé, le Dr S.________ examine les éléments pertinents qui ont mené au diagnostic, mentionnant notamment que : « L’expression de ce trouble de la personnalité se manifeste par une discordance entre ce qui est exprimé aux autres et ce qui est ressenti. Mme E.________ exprime toujours en premier lieu un bien être comme si elle voulait plaire à son interlocuteur. Elle n’ose jamais vraiment exprimer sa tristesse et son mal être. Ainsi on peut être conduit à banaliser ses propos sur son mal être, sur sa fatigue et sur son attente de la mort. J’estime que Mme E.________ présente un trouble dépressif chronique depuis de longues années. Je pose donc un trouble de l’humeur persistant en raison d’une fatigue chronique, de troubles du sommeil, d’un retrait social, d’une perte d’espoir et de sentiments de culpabilité latents » L’expert a également passé en revue les différents traitements auxquels s’est soumise l’assurée. Il a notamment constaté que le traitement psychiatrique initié en 2012 n’avait apporté aucun soulagement, indiquant ensuite ce qui suit :</w:t>
      </w:r>
    </w:p>
    <w:p>
      <w:r>
        <w:t>- 19 - « Le traitement psychiatrique actuel est adéquat. La médication psychotrope ne joue pas un rôle majeur et l’on ne saurait attendre de cette médication une amélioration notable de l’état de santé psychique de Mme E.________. En effet toutes les modifications apportées à ce jour n’ont pas permis d’enrayer une aggravation progressive. Les troubles de la personnalité sont particulièrement difficiles à traiter et aucune thérapie à ce jour n’a montré une supériorité indéniable. Le traitement psychothérapeutique devrait vraisemblablement être un peu plus soutenu qu’il ne l’était jusqu’à présent. Il permettra vraisemblablement un soutien mais n’aura pas d’effet notable sur une amélioration notable de la capacité de travail ». L’expert a également dressé un tableau de la structure de personnalité de l’assurée et de ses ressources. L’expert y a décrit notamment une assurée qui ne présentait pas de troubles de l’attention ni de la concentration, ni de ralentissement psychomoteur ou cognitif, la mémoire étant également préservée. Cependant, il est fait mention de la proportion de l’assurée à facilement angoisser, se décrivant comme perfectionniste. Le Dr S.________ a également retenu ce qui suit : « Mme E.________ présente une fatigue comme symptôme cardinal du trouble de l’humeur. Elle présente d’autre part une perte d’estime d’elle-même, une perte d’espoir et un désir latent de mort. La fatigue peut s’expliquer par un besoin constant de lutter contre l’envahissement des affects dépressifs qui mobilise toutes les ressources physiques ». Quant au contexte social, l’expert a mis en évidence les éléments suivants : « J’estime que Mme E.________ a une vie sociale très rétrécie. Elle n’a quasiment aucune amie ou aucun ami. Elle n’a aucune activité sociale. J’estime donc que l’on peut considérer qu’elle présente un retrait social marqué ». cc) Concernant finalement le critère de la cohérence, particulièrement pertinent dans les cas de troubles psychiques afin de parvenir à une appréciation globale des limitations fonctionnelles, l’expert a mentionné, outre l’abandon de toute pratique sportive, les éléments suivants : « Si l’on se réfère au Mini-ECF la majorité des capacités fonctionnelles n’est que légèrement diminuée. Seules les activités spontanées sont sévèrement limitées. Néanmoins de manière</w:t>
      </w:r>
    </w:p>
    <w:p>
      <w:r>
        <w:t>- 20 - globale Mme E.________ présente une limitation importante des activités dans tous les domaines de la vie : professionnellement elle n’est plus à même de travailler à plein temps, dans sa vie privée sa mère doit l’aider dans la tenue de son ménage et dans la préparation des repas, dans sa vie sociale elle n’a quasiment plus aucune activité ». c) Au vu de ce qui précède, les répercussions fonctionnelles sur la capacité de travail des troubles psychiques diagnostiqués par le Dr S.________ sont établies de manière concluante et exemptes de contradictions. Elles sont définies à l’aide d’une grille d’indicateurs pertinents dans le cas d’espèce, en accord avec la jurisprudence récente du Tribunal fédéral en la matière.</w:t>
      </w:r>
    </w:p>
    <w:p>
      <w:r>
        <w:rPr>
          <w:b/>
        </w:rPr>
        <w:t>E. 7</w:t>
      </w:r>
    </w:p>
    <w:p>
      <w:r>
        <w:t>a) Concernant les déterminations de l’OAI du 4 octobre 2017, aucun élément objectivement vérifiable ne permet de remettre en cause la pertinence de l’expertise réalisée par le Dr S.________. La seule divergence entre le diagnostic de l’expert et celui du Dr M.________ ne saurait constituer un tel élément. b) L’intimé a également soulevé la question des apnées obstructives du sommeil en alléguant la nécessité d’une expertise complémentaire sur ce point. En premier lieu, il est rappelé que l’expert est un spécialiste en psychiatrie et psychothérapie, la problématique précitée ne faisant dès lors pas partie de son domaine de compétence. En outre, si l’intimé tenait à ce que cette question soit étudiée, il lui aurait été possible d’en faire mention durant la procédure de désignation de l’expert, respectivement lors des questions transmises à ce dernier. Par ailleurs, l’assurée a produit un avis médical établi le 30 mai 2016 par le Dr K.________, assorti d’un examen du sommeil de la recourante. Au vu des résultats de la polygraphie nocturne, le médecin a retenu que l’on pouvait raisonnablement exclure un trouble respiratoire du sommeil (apnées du sommeil). Rien au dossier ne permet de mettre en doute les conclusions de ce spécialiste, dit rapport étant par ailleurs suffisamment détaillé pour se voir conférer force probante. Il ne se justifie donc pas de mettre en œuvre une expertise complémentaire sur ce point.</w:t>
      </w:r>
    </w:p>
    <w:p>
      <w:r>
        <w:t>- 21 -</w:t>
      </w:r>
    </w:p>
    <w:p>
      <w:r>
        <w:rPr>
          <w:b/>
        </w:rPr>
        <w:t>E. 8</w:t>
      </w:r>
    </w:p>
    <w:p>
      <w:r>
        <w:t>a) Compte tenu de ce qui précède, l’expertise du 20 août 2017 établie par le Dr S.________ remplit les réquisits de la jurisprudence pour se voir reconnaître pleine valeur probante, de sorte que l’on en retiendra les conclusions. Ainsi, l’incapacité de travail d’E.________ est de 40% dès 2012. En présence d’une activité habituelle poursuivie et réputée adaptée, le degré d’invalidité se confond avec celui de l’incapacité de travail, ouvrant ainsi le droit à un quart de rente. La demande étant tardive (art. 29 al. 1 et 3 LAI), le droit n’est ouvert que 6 mois après le dépôt de la demande, effectué le 13 février 2014, soit à compter du 1er août 2014. b) La péjoration de l’état de santé de l’assurée à compter du mois de mai 2017 retenue par l’expert S.________ est postérieure à la décision attaquée. Elle pourra donc faire l’objet d’une nouvelle demande, respectivement d’une procédure de révision.</w:t>
      </w:r>
    </w:p>
    <w:p>
      <w:r>
        <w:rPr>
          <w:b/>
        </w:rPr>
        <w:t>E. 9</w:t>
      </w:r>
    </w:p>
    <w:p>
      <w:r>
        <w:t>Le recours est dès lors admis et la décision attaquée réformée dans le sens de l’octroi d’un quart de rente à compter du 1er août 2014. a) En dérogation à l'art. 61 let. a LPGA, la procédure de recours en matière de contestations portant sur l'octroi ou le refus de prestations de l'AI devant le tribunal cantonal des assurances est soumise à des frais judiciaires (art. 69 al. 1bis LAI). En l’espèce, compte tenu de l’ampleur de la procédure, les frais de justice doivent être arrêtés à 400 fr. et mis à la charge de l’intimé (art. 69 al. 1bis LAI ; 49 al. 1 LPA-VD). b) Obtenant gain de cause, le recourant a droit à des dépens, fixés à 2'500 fr. afin de tenir compte de la complexité et de la durée de la procédure, et mis à la charge de l’intimé, qui succombe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