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ZD16.008253 vom 9. November 2016</w:t>
      </w:r>
    </w:p>
    <w:p>
      <w:r>
        <w:t>VD Tribunal cantonal, 2016-11-09, FR</w:t>
      </w:r>
    </w:p>
    <w:p>
      <w:r>
        <w:rPr>
          <w:b/>
        </w:rPr>
        <w:t xml:space="preserve">Quelle: </w:t>
      </w:r>
      <w:r>
        <w:t>https://mcp.opencaselaw.ch/entscheid/vd_gerichte_ZD16.008253</w:t>
      </w:r>
    </w:p>
    <w:p>
      <w:r>
        <w:t>FR: VD_GERICHTE ZD16.008253 du 9 novembre 2016</w:t>
      </w:r>
    </w:p>
    <w:p>
      <w:r>
        <w:t>IT: VD_GERICHTE ZD16.008253 del 9 novembre 2016</w:t>
      </w:r>
    </w:p>
    <w:p>
      <w:pPr>
        <w:pStyle w:val="Heading2"/>
      </w:pPr>
      <w:r>
        <w:t>Erwägungen</w:t>
      </w:r>
    </w:p>
    <w:p>
      <w:r>
        <w:rPr>
          <w:b/>
        </w:rPr>
        <w:t>E. 4</w:t>
      </w:r>
    </w:p>
    <w:p>
      <w:r>
        <w:t>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Selon l’art. 28 al. 2 LAI (en vigueur depuis le 1er janvier 2008), la rente est échelonnée selon le taux d'invalidité, un taux d'invalidité de 40 % au moins donnant droit à un quart de rente, un taux d'invalidité de 50 % au moins donnant droit à une demi-rente, un taux d'invalidité de 60 % au moins donnant droit à trois-quarts de rente et un taux d'invalidité de 70 % au moins donnant droit à une rente entière. b) Aux termes de l’art. 8 al. 1 LPGA, est réputée invalidité l’incapacité de gain totale ou partielle qui est présumée permanente ou de longue durée. Elle peut résulter d'une infirmité congénitale, d'une maladie ou d'un accident (art. 4 al. 1 LAI). L'invalidité est réputée survenue dès</w:t>
      </w:r>
    </w:p>
    <w:p>
      <w:r>
        <w:t>- 17 -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w:t>
      </w:r>
    </w:p>
    <w:p>
      <w:r>
        <w:rPr>
          <w:b/>
        </w:rPr>
        <w:t>E. 5</w:t>
      </w:r>
    </w:p>
    <w:p>
      <w:r>
        <w:t>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 b) De manière générale,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w:t>
      </w:r>
    </w:p>
    <w:p>
      <w:r>
        <w:t>- 18 -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w:t>
      </w:r>
    </w:p>
    <w:p>
      <w:r>
        <w:rPr>
          <w:b/>
        </w:rPr>
        <w:t>E. 5.1</w:t>
      </w:r>
    </w:p>
    <w:p>
      <w:r>
        <w:t>;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w:t>
      </w:r>
    </w:p>
    <w:p>
      <w:r>
        <w:rPr>
          <w:b/>
        </w:rPr>
        <w:t>E. 10</w:t>
      </w:r>
    </w:p>
    <w:p>
      <w:r>
        <w:t>novembre 2015 consid. 4.3). c) En ce qui concerne les rapports de médecins du SMR, ceux- ci constituent un rapport au sens de l’art. 59 al. 2bis LAI, et non un examen médical sur la personne de l'assuré (au sens de l'art. 49 al. 2 RAI), ni une expertise au sens de l'art. 44 LPGA. Il s'agit d'une appréciation par le médecin interne du SMR du dossier médical de l'assuré qui a pour but d'opérer la synthèse des renseignements médicaux versés au dossier et de faire des recommandations quant à la suite à donner au cas sur le plan médical. De tels avis ont de ce fait une autre fonction que les expertises</w:t>
      </w:r>
    </w:p>
    <w:p>
      <w:r>
        <w:t>- 19 - médicales au sens de l'art. 44 LPGA ou les résultats des examens médicaux auxquels procède le SMR. Ils ne posent pas de nouvelles conclusions médicales mais portent une appréciation sur celles déjà existantes. Au vu de ces différences, ils ne doivent pas remplir les mêmes exigences au niveau de leur contenu que les expertises médicales. On ne saurait en revanche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p. 352), les autorités appelées à statuer ont en effet le devoir d'examiner objectivement tous les documents à disposition, quelle que soit leur provenance, puis de décider s'ils permettent de porter un jugement valable sur le droit litigieux (cf. TF 9C_99/2012 du 24 septembre 2012 consid. 6.2). 6. a) L’assuré fait notamment valoir qu’il souffre d’une impotence partielle au bras gauche, sous forme d’une atrophie et d’une réduction de l’amplitude. Il ressort du courrier du Dr H.________ du 3 mars 2015 que cette situation provient d’un remaniement important de l’articulation de l’épaule consécutive très probablement à une fracture survenue dans la petite enfance et non traitée, et que depuis quelques années s’y ajoute vraisemblablement une aggravation de « l’arthrose » avec réduction de l’amplitude à l’élévation et à l’abduction, qui à partir de 80 ° s’avère très douloureuse. Comme vu ci-dessus (consid. 2b), il s’agit d’un motif qui aurait dû être traité comme une demande de reconsidération au sens de l’art. 53 al. 2 LPGA. Or, le procédé consistant à demander la reconsidération d’une décision alors que le délai de recours pendant contre celle-ci est encore ouvert est abusif. Le grief concernant l’absence d’instruction quant à l’atteinte orthopédique aurait précisément dû être soulevé à l’occasion d’un tel recours. L’OAI n’a pas rendu de décision sur la demande de reconsidération au sens de l’art. 53 al. 2 LPGA présentée en date du 3 mars 2015, mais s’est contenté d’instruire la cause uniquement sous</w:t>
      </w:r>
    </w:p>
    <w:p>
      <w:r>
        <w:t>- 20 - l’angle de la révision de l’art. 17 LPGA, respectivement d’une nouvelle demande de prestations. Le fait que l’OAI ne se soit pas prononcé sur l’existence ou non d’un motif de reconsidération au sens de l’art. 53 al. 2 LPGA demeure sans incidence. En effet, selon la jurisprudence, l'administration n'est pas tenue de reconsidérer les décisions qui remplissent les conditions fixées ; elle en a simplement la faculté et ni l'assuré ni le juge ne peut l'y contraindre. Le corollaire en est que les décisions portant sur un refus d'entrer en matière sur une demande de reconsidération ne peuvent pas faire l'objet d'un contrôle en justice (ATF 133 V 50 consid. 4.1 ; 119 V 475 consid. 1b/cc ; 117 V 8 consid. 2a ; TF 8C_866/2009 du 27 avril 2010 consid. 2.2; Ueli Kieser, ATSG-Kommentar, 3e éd., n° 73 ad art. 53 LPGA). Une administration refuse d'entrer en matière sur une demande de reconsidération lorsqu'elle se borne à procéder à un examen sommaire de la requête et répète les motifs invoqués dans la décision initiale (ATF 117 V 8 consid. 2b/aa ; TF 8C_609/2010 du 22 mars 2011 consid. 2.1). Rien ne s’oppose à l’application de cette jurisprudence au cas d’espèce, si l’on considère que la décision litigieuse vaut décision implicite de refus d’entrée en matière sur la demande de reconsidération. En effet, dans sa décision du 21 janvier 2016, l’OAI s’est contenté de retenir que l’assuré disposait toujours d’une pleine capacité de travail dans une activité adaptée à ses limitations fonctionnelles depuis le 21 juin 2013 et qu’il ne présentait aucun préjudice économique. Dans cette mesure, le recours n’est donc pas recevable sur ce point. Quoi qu’il en soit, l’atteinte au bras gauche n’est pas nouvelle, dans la mesure où le Dr H.________ faisait déjà état dans son rapport du 17 août 2012 d’une impotence fonctionnelle du bras gauche avec trouble du développement suite à un accident avec probables fractures multiples de l’épaule gauche dans l’enfance. Au demeurant, cette atrophie du bras gauche existe de longue date et n’a pas empêché l’assuré d’effectuer une formation de forgeron et de travailler de 2002 à 2007 comme machiniste.</w:t>
      </w:r>
    </w:p>
    <w:p>
      <w:r>
        <w:t>- 21 - b) Il convient ensuite d’examiner si les conditions d’une révision au sens de l’art. 17 LPGA sont réalisées. Pour ce faire, il s’agit d’apprécier l’état de santé du recourant, avec comme point de comparaison la décision de l’OAI du 3 février 2015, qui repose sur un examen matériel du droit à la rente avec une constatation des faits pertinents ainsi qu’une appréciation des preuves et des circonstances régnant à l'époque de la décision litigieuse. aa) Le recourant fait valoir qu’il souffre d’un syndrome d’apnées-hypopnées obstructives du sommeil. Ce diagnostic a été évoqué en premier lieu par le Dr F.________ avant la décision du 3 février 2015, plus exactement le 10 juillet 2014. Il n’a cependant été confirmé par les examens usuels auprès du L.________ qu’après la décision du 3 février 2015. Cependant, ce n’est pas l’existence en elle-même d’un nouveau diagnostic qui entraîne une aggravation de l’incapacité de travail. Seuls sont déterminants les effets de cette atteinte à la santé sur la capacité de travail. Il est notoire que l’apnée du sommeil entraîne de la fatigue. Or, la fatigue, ou l’asthénie, était déjà régulièrement mentionnée dans les rapports médicaux antérieurs à la décision du 3 février 2015 par les médecins cardiologues traitants (cf. rapports médicaux du Dr Z.________ du 7 décembre 2012 et des médecins de l’Hôpital W.________ du 24 juin 2013). Dans son écrit du 3 mars 2015, le Dr H.________ indiquait expressément que le motif de la demande AI déposée en 2014 tenait essentiellement dans le fait que le patient présentait un état de fatigue chronique en lien avec, d’une part la fibrillation auriculaire, d’autre part un traitement de bêta-bloquants indispensable compte tenu de la tachy- arythmie. Le Dr J.________ confirme également, dans son rapport du 13 juillet 2015, l’hypothèse que la fatigue soit liée au traitement bêta- bloquant. Or celui-ci était déjà prescrit avant la décision du 3 février 2015. Par ailleurs, des nouveaux rapports médicaux produits, on ne saurait déduire que cette fatigue se soit aggravée sous quelque forme que ce soit depuis le 3 février 2015 et par conséquent qu’elle influerait d’une autre manière sur les limitations fonctionnelles retenues par le SMR dans une activité adaptée. Le Dr J.________ décrit la situation comme stationnaire et a priori on devrait déduire de ce qualificatif qu’il n’existe pas de</w:t>
      </w:r>
    </w:p>
    <w:p>
      <w:r>
        <w:t>- 22 - changement depuis sa prise en charge de l’assuré le 16 décembre 2014. A la question relative à l’énumération des restrictions physiques, mentales ou psychiques existantes, il mentionne la tachycardie et l’arythmie au moindre effort, les douleurs thoraciques chroniques (postopératoires), la fatigue et l’état dépressif. Celles-ci étaient déjà toutes connues à l’époque de la décision du 3 février 2015 et lorsque le Dr J.________ indique qu’une activité de travail lui paraîtrait difficilement envisageable, il s’agit de fait d’une appréciation différente d’une situation identique, en l’occurrence, différente de celles du Dr F.________ et du SMR. Quant au Dr G.________, il considère le pronostic en principe favorable en cas d’adaptation au traitement par CPAP et mentionne à titre de restrictions la fatigue ainsi que le risque de somnolence dans des situations calmes et monotones, avec une diminution des performances, une fatigue et des troubles de concentration. Il ajoute qu’en cas de bonne adhérence thérapeutique, il ne devrait pas y avoir de limitations fonctionnelles. Outre que les limitations fonctionnelles énumérées par le Dr G.________ ne sont pas en fin de compte sensiblement différentes de celles retenues par le Dr F.________ et le SMR, on peut encore se demander s’il ne pourrait être exigé de l’assuré de faire preuve d’une plus grande adhérence thérapeutique, compte tenu de son obligation de diminuer le dommage (cf. ATF 138 I 205 consid. 3.2). Un nouveau traitement, par orthèse d’avancement mandibulaire, a été mis en place contre les troubles d’apnée du sommeil, comme l’indique le Dr H.________. Si celui-ci ne paraît pour l’instant, subjectivement, pas avoir apporté le bénéfice escompté, il a tout de même permis de rendre le sommeil de l’assuré apparemment plus tranquille. bb) S’agissant d’une éventuelle atteinte psychique, l’existence d’un trouble anxio-dépressif ou d’un état dépressif était déjà connue lors de la précédente procédure administrative, comme cela ressort des rapports médicaux du Dr H.________ du 17 août 2012 et du Dr Z.________ du 7 décembre 2012. Dans le cadre de la procédure actuelle, il n’existe absolument aucun rapport médical faisant état d’une péjoration de cette atteinte depuis le 3 février 2015. En outre, le dossier de l’assuré ne contient aucun rapport médical émanant d’un médecin psychiatre. Or, il sied de rappeler que l’existence d’une atteinte à la santé psychique</w:t>
      </w:r>
    </w:p>
    <w:p>
      <w:r>
        <w:t>- 23 - suppose la présence d’un diagnostic émanant d’un psychiatre, s’appuyant de lege artis sur les critères d’un système de classification reconnu (ATF 130 V 396 consid. 5.3). A cet égard, le recourant a produit un rapport médical émanant du psychiatre et psychothérapeute Dr C.________, daté du 8 août 2016. Celui-ci ne suit toutefois l’assuré que depuis le 9 juin 2016, soit postérieurement à la date de la décision attaquée, le 21 janvier 2016, de sorte que ses conclusions ne sont pas susceptibles d’influencer la présente procédure. On peut en outre relever qu’il ne se prononce pas sur la capacité de travail de l’assuré, faute de l’avoir suivi suffisamment longtemps et que les troubles qu’il constate ne sont pas motivés et sont en partie basés sur les déclarations de l’intéressé. cc) Au vu de ce qui précède, il faut constater que l’assuré n’a pas démontré de modification sensible de son état de santé depuis la décision de l’OAI du 3 février 2015, et qu’il n’y avait dès lors pas matière à réviser son droit aux prestations. 7. Le dossier étant complet, permettant ainsi à la présente autorité de statuer en pleine connaissance de cause, il n'y a pas lieu d'ordonner une instruction complémentaire sous la forme d'une expertise pluridisciplinaire. En effet, une telle mesure d'instruction ne serait pas de nature à modifier les considérations qui précèdent, puisque les faits pertinents ont pu être constatés à satisfaction de droit (sur l'appréciation anticipée des preuves cf. ATF 137 III 208 consid. 2.2 p. 210 ; ATF 135 II 286 consid. 5.1 p. 293 ; ATF 134 I 140 consid. 5.2 p. 147 s.; ATF 130 II 425 consid. 2.1 p. 429). 8. a) En conséquence, le recours doit être rejeté, dans la mesure où il est recevable,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w:t>
      </w:r>
    </w:p>
    <w:p>
      <w:r>
        <w:t>- 24 - se situer entre 200 et 1'000 fr. (art. 69 al. 1bis LAI). En l'espèce, les frais de procédure doivent être arrêtés à 400 fr. et être mis à la charge du recourant, qui succombe. Toutefois, dès lors qu’il a été mis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c) Enfin, le recourant n’obtenant pas gain de cause, il n’y a pas lieu d’allouer de dépens (61 let. g LPGA et art. 55 al. 1 LPA-VD, applicable par renvoi des art.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