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ZD16.003223 vom 16. August 2016</w:t>
      </w:r>
    </w:p>
    <w:p>
      <w:r>
        <w:t>VD Tribunal cantonal, 2016-08-16, FR</w:t>
      </w:r>
    </w:p>
    <w:p>
      <w:r>
        <w:rPr>
          <w:b/>
        </w:rPr>
        <w:t xml:space="preserve">Quelle: </w:t>
      </w:r>
      <w:r>
        <w:t>https://mcp.opencaselaw.ch/entscheid/vd_gerichte_ZD16.003223</w:t>
      </w:r>
    </w:p>
    <w:p>
      <w:r>
        <w:t>FR: VD_GERICHTE ZD16.003223 du 16 août 2016</w:t>
      </w:r>
    </w:p>
    <w:p>
      <w:r>
        <w:t>IT: VD_GERICHTE ZD16.003223 del 16 agosto 2016</w:t>
      </w:r>
    </w:p>
    <w:p>
      <w:pPr>
        <w:pStyle w:val="Heading2"/>
      </w:pPr>
      <w:r>
        <w:t>Erwägungen</w:t>
      </w:r>
    </w:p>
    <w:p>
      <w:r>
        <w:rPr>
          <w:b/>
        </w:rPr>
        <w:t>E. 13</w:t>
      </w:r>
    </w:p>
    <w:p>
      <w:r>
        <w:t>mars 2012 consid. 4.2). En matière d’assurance-invalidité, il revient au premier chef à l’OAI de mettre en œuvre les mesures d’instruction nécessaires auxquelles il se doit de procéder afin de constituer un dossier complet sur le plan médical (cf. art. 57 al. 1 let. f LAI et art. 69 RAI). b)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consid. 4 et 122 V 163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ne s’impose que lorsque les données recueillies par l’administration en cours d’instruction ne revêtent pas une valeur probante suffisante sur des points décisifs (ATF 137 V 210 consid. 4.4.1.4 et 4.4.1.5). c) En l’occurrence, compte tenu des lacunes dans l’instruction du cas, il s’avère que les conséquences de l’état de santé physique de la</w:t>
      </w:r>
    </w:p>
    <w:p>
      <w:r>
        <w:t>- 27 - recourante sur sa capacité de travail n’ont pu être établies de manière probante. Il se justifie par conséquent d’ordonner le renvoi de la cause à l’intimé, cette solution apparaissant comme la plus opportune. Dans ce contexte, il appartiendra à l’intimé de procéder à l’examen de l’atteinte somatique et de ses éventuelles répercussions sur la capacité de travail de la recourante, cas échéant sur sa capacité de travail globale en tenant compte du taux d’incapacité de 30% inhérent à l’atteinte psychique. L’OAI devra également procéder à toutes mesures d’instruction utiles afin de vérifier le statut de la recourante. En effet, le statut retenu dans la présente procédure est de 100 % actif. Or, pendant la période litigieuse, la recourante avait la charge d’une jeune fille, placée chez elle et sous sa tutelle, ainsi que la garde ponctuelle d’enfants, dont ses petits-enfants. Cela étant, il se pourrait que la disponibilité de la recourante pour une activité professionnelle ne soit pas entière et l’instruction devra être complétée s’agissant du statut de la recourante. 8. La recourante se prévaut encore de son âge proche de la retraite et considère applicable la jurisprudence selon laquelle ce facteur devient déterminant et nécessite une approche particulière de l’évaluation de l’invalidité. Selon le Tribunal fédéral,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Tribunal fédéral a considéré que le moment auquel la question de la mise en valeur de la capacité (résiduelle) de</w:t>
      </w:r>
    </w:p>
    <w:p>
      <w:r>
        <w:t>- 28 - travail pour un assuré proche de l'âge de la retraite doit être examinée correspondait à celui où l'on constatait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Le seuil à partir duquel on peut parler d'âge avancé se situe autour de 60 ans, même si la Haute Cour n'a pas fixé d'âge limite jusqu'à présent (ATF 138 V 457 ; TF 9C_695/2010 du 15 mars 2011 consid. 6.2 et réf. citées ; 9C_612/2007 du 14 juillet 2008 consid. 5.2). En l’occurrence, le moment déterminant s’avère être celui de l’expertise psychiatrique. Celle- ci date du 7 février 2011 et l’assurée n’avait pas encore 55 ans. Son âge n’était donc pas avancé au sens fixé par la jurisprudence précitée. Elle ne peut dès lors tirer aucun bénéfice de cette dernière. 9. a) Au vu de ce qui précède et dans la mesure où la recourante a conclu principalement à l’allocation d’une rente entière de l’assurance- invalidité, son recours doit être partiellement admis. La décision attaquée est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Obtenant gain de cause, la recourante, assistée d’une mandataire professionnelle, a droit à des dépens (art. 55 LPA-VD, applicable sur renvoi de l’art. 99 al. 1 LPA-VD). Leur montant doit être déterminé, sans égard à la valeur litigieuse, d’après l’importance et la complexité du litige (art. 61 let. g LPGA et art. 11 TFJDA [tarif des frais judiciaires et des dépens en matière administrative du 28 avril 2015 ; RSV 173.36.5.1]). En l’espèce, il convient de réduire le montant des dépens à</w:t>
      </w:r>
    </w:p>
    <w:p>
      <w:r>
        <w:t>- 29 - 2000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