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ZD16.001371 vom 16. März 2017</w:t>
      </w:r>
    </w:p>
    <w:p>
      <w:r>
        <w:t>VD Tribunal cantonal, 2017-03-16, FR</w:t>
      </w:r>
    </w:p>
    <w:p>
      <w:r>
        <w:rPr>
          <w:b/>
        </w:rPr>
        <w:t xml:space="preserve">Quelle: </w:t>
      </w:r>
      <w:r>
        <w:t>https://mcp.opencaselaw.ch/entscheid/vd_gerichte_ZD16.001371</w:t>
      </w:r>
    </w:p>
    <w:p>
      <w:r>
        <w:t>FR: VD_GERICHTE ZD16.001371 du 16 mars 2017</w:t>
      </w:r>
    </w:p>
    <w:p>
      <w:r>
        <w:t>IT: VD_GERICHTE ZD16.001371 del 16 marzo 2017</w:t>
      </w:r>
    </w:p>
    <w:p>
      <w:pPr>
        <w:pStyle w:val="Heading2"/>
      </w:pPr>
      <w:r>
        <w:t>Erwägungen</w:t>
      </w:r>
    </w:p>
    <w:p>
      <w:r>
        <w:rPr>
          <w:b/>
        </w:rPr>
        <w:t>E. 7</w:t>
      </w:r>
    </w:p>
    <w:p>
      <w:r>
        <w:t>février 2014). De même, dans son rapport du 27 mars 2015, le Dr O.________ se contente uniquement d’indiquer qu’il a adressé B.________ à son neurologue et que ce dernier ne retient pas de polyneuropathie à l’électroneuromyogramme. Ces considérations ne sauraient dès lors être suffisantes au regard du devoir d’instruction de l’OAI, étant précisé par ailleurs s’agissant de la Dresse M.________ que celle-ci n’est ni neurologue ni orthopédiste. De même, on ne peut suivre l’intimé lorsqu’il affirme que si le Dr Y.________ avait décelé une anomalie susceptible d’avoir une influence sur les capacités de l’assurée, qui ne soit pas dans sa compétence, il l’aurait relevé et l’OAI se serait chargé de l’instruire. En effet, d’une part, l’examen du Dr Y.________ porte exclusivement sur le volet rhumatologique. Il n’avait donc pas à se prononcer sur les autres aspects médicaux, en particulier sur les douleurs neurogènes de la main</w:t>
      </w:r>
    </w:p>
    <w:p>
      <w:r>
        <w:t>- 23 - droite présentées par l’assurée. D’autre part, c’est justement pour cette raison que le Dr Y.________ a suggéré d’interpeller le neurologue de la recourante, le Dr X.________, afin que ce dernier détermine s’il existe une atteinte neurologique incapacitante ou des limitations fonctionnelles durables. c) Au vu de ce qui précède, il s’avère que la cause n’a pas été suffisamment instruite sur le plan neurologique et orthopédique. Il appartiendra dès lors à l’OAI de compléter l’instruction sur ces points, en requérant les informations nécessaires, notamment auprès du Dr X.________, neurologue de la recourante, et en mettant en œuvre, si nécessaire, une expertise. Le recours est par conséquent bien fondé.</w:t>
      </w:r>
    </w:p>
    <w:p>
      <w:r>
        <w:rPr>
          <w:b/>
        </w:rPr>
        <w:t>E. 8</w:t>
      </w:r>
    </w:p>
    <w:p>
      <w:r>
        <w:t>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[règlement fédéral du 17 janvier 1961 sur l’assurance- invalidité ; RS 831.201] ; ATF 137 V 210 ; cf. aussi la note de Bettina Kahil- 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les volets neurologique et orthopédique du cas n’ont pas fait l’objet d’une instruction suffisante. Au vu des considérations qui précèdent, le recours sera donc admis, la décision annulée et la cause renvoyée à l'OAI pour nouvelle instruction dans le sens des considérants.</w:t>
      </w:r>
    </w:p>
    <w:p>
      <w:r>
        <w:t>- 24 -</w:t>
      </w:r>
    </w:p>
    <w:p>
      <w:r>
        <w:rPr>
          <w:b/>
        </w:rPr>
        <w:t>E. 9</w:t>
      </w:r>
    </w:p>
    <w:p>
      <w:r>
        <w:t>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assistée d'un mandataire professionnel, a par ailleurs droit à des dépens, fixés en l’espèce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