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ZD16.000690 vom 5. Juli 2016</w:t>
      </w:r>
    </w:p>
    <w:p>
      <w:r>
        <w:t>VD Tribunal cantonal, 2016-07-05, FR</w:t>
      </w:r>
    </w:p>
    <w:p>
      <w:r>
        <w:rPr>
          <w:b/>
        </w:rPr>
        <w:t xml:space="preserve">Quelle: </w:t>
      </w:r>
      <w:r>
        <w:t>https://mcp.opencaselaw.ch/entscheid/vd_gerichte_ZD16.000690</w:t>
      </w:r>
    </w:p>
    <w:p>
      <w:r>
        <w:t>FR: VD_GERICHTE ZD16.000690 du 5 juillet 2016</w:t>
      </w:r>
    </w:p>
    <w:p>
      <w:r>
        <w:t>IT: VD_GERICHTE ZD16.000690 del 5 luglio 2016</w:t>
      </w:r>
    </w:p>
    <w:p>
      <w:pPr>
        <w:pStyle w:val="Heading2"/>
      </w:pPr>
      <w:r>
        <w:t>Erwägungen</w:t>
      </w:r>
    </w:p>
    <w:p>
      <w:r>
        <w:rPr>
          <w:b/>
        </w:rPr>
        <w:t>E. 1</w:t>
      </w:r>
    </w:p>
    <w:p>
      <w:r>
        <w:t>a) Les dispositions de la LPGA (loi fédérale du 6 octobre 2000 sur la partie générale du droit des assurances sociales ; RS 830.1) s’appliquent à la LAI (loi fédérale du 19 juin 1959 sur l’assurance- 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compte tenu des féries de fin d’année (art. 38 al. 4 let. c LPGA, par renvoi de l’art. 60 al. 2 LPGA), auprès du tribunal compétent (cf. art. 93 let. a LPA-VD [loi cantonale vaudoise du 28 octobre 2008 sur la procédure administrative ; RSV 173.36]) et dans le respect des autres conditions formelles prévues par la loi (art. 61 let. b LPGA notamment), le recours est recevable en la forme, de sorte qu’il y lieu d’entrer en matière au fond.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w:t>
      </w:r>
    </w:p>
    <w:p>
      <w:r>
        <w:t>- 25 - ensemble mais se borne à examiner les aspects de cette décision que le recourant a critiqués, exception faite lorsque des points non critiqués ont des liens étroits avec la question litigieuse (ATF 131 V 164 ; ATF 125 V 413 consid. 2c). b) Le litige porte sur le droit du recourant à une rente d’invalidité, en particulier sur l’évaluation de sa capacité de travail.</w:t>
      </w:r>
    </w:p>
    <w:p>
      <w:r>
        <w:rPr>
          <w:b/>
        </w:rPr>
        <w:t>E. 3</w:t>
      </w:r>
    </w:p>
    <w:p>
      <w:r>
        <w:t>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 jurisprudence, les facteurs psychosociaux et socioculturels ne constituent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w:t>
      </w:r>
    </w:p>
    <w:p>
      <w:r>
        <w:t>- 26 -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p. 299 sv. ; cf. TF I 797/06 du 21 août 2007 consid. 4). b) Selon l'art. 28 al. 1 LAI, l'assuré a le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 au terme de cette année, il est invalide (art. 8 LPGA) à 40% au moins. La rente d'invalidité est échelonnée selon le taux d’invalidité : l'assuré a droit à un quart de rente s'il est invalide à 40% au moins, à une demi-rente s'il est invalide à 50% au moins, à trois-quarts de rente s'il est invalide à 60% au moins et à une rente entière s'il est invalide à 70% au moins (art. 28 al. 2 LAI). Le droit à la rente prend naissance au plus tôt à l'échéance d'une période de six mois à compter de la date à laquelle l'assuré a fait valoir son droit aux prestations conformément à l'art. 29 al. 1 LPGA (art. 29 al. 1 LAI). c) Pour évaluer le taux d'invalidité des assurés exerçant une activité lucrative, il faut comparer le revenu que l'assuré aurait pu obtenir s'il n'était pas invalide (revenu sans invalidité), avec le celui qu'il pourrait</w:t>
      </w:r>
    </w:p>
    <w:p>
      <w:r>
        <w:t>- 27 - obtenir en exerçant l'activité qui peut être raisonnablement exigée de lui après les traitements et les mesures de réadaptation, sur un marché du travail équilibré (revenu de la personne invalide) (art. 16 LPGA et art. 28a al. 1 LAI). d) Pour pouvoir calculer le degré d'invalidité, l'administration (ou le juge, en cas de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ATF 115 V 133 consid. 2 ; cf. TF 8C_406/2012 du 6 juin 2013 consid. 2 et les références citées). 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apprécier l’ensemble des preuves et sans indiquer les raisons pour lesquelles il se fonde sur une opinion plutôt qu'une autre, en se conformant à la règle du degré de la vraisemblance prépondérante (cf. ATF 126 V 353 consid. 5b).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w:t>
      </w:r>
    </w:p>
    <w:p>
      <w:r>
        <w:t>- 28 - comme expertise, mais bel et bien son contenu (ATF 125 V 351 consid. 3a ; TF 9C_236/2015 du 9 décembre 2015 consid. 4 et les références).</w:t>
      </w:r>
    </w:p>
    <w:p>
      <w:r>
        <w:rPr>
          <w:b/>
        </w:rPr>
        <w:t>E. 4</w:t>
      </w:r>
    </w:p>
    <w:p>
      <w:r>
        <w:t>En substance et à titre principal, le recourant est d’avis que l’OAI n’a pas pris en compte ses atteintes physiques et psychiques à leur juste mesure et qu’il n’est pas capable d’exercer quelqu’activité que ce soit. a) Il n’est pas contesté que le recourant ne peut plus exercer son activité habituelle de garagiste indépendant en raison de son état de santé, et ce à juste titre vu les rapports médicaux concordants à cet égard (cf. notamment avis médical SMR du 19 mars 2014, rapport du 18 septembre 2014 du Dr L.________, rapport d’examen clinique du SMR du 16 novembre 2015). b) Cela étant, l’OAI considère qu’à l’issue du délai de carence d’une année, soit le 15 septembre 2014, le recourant a recouvré une capacité de travail de 100% dans une activité adaptée à ses limitations fonctionnelles, à savoir une activité sans port de charges, ni position en porte-à-faux, ni travail en zone basse, ni déplacement sur terrain accidenté, avec alternance des positions et dans un milieu rassurant et calme. L’office s’est principalement fondé sur le rapport d’examen clinique réalisé au SMR le 15 septembre 2015 par le Dr G.________ et la Dresse D.________. aa) Pour évaluer la capacité de travail au plan physique, le Dr G.________ s’est basé sur une anamnèse complète et a pris en compte les plaintes de l’assuré, expliquant notamment que ce dernier ne travaillait plus depuis le 16 mars 2013, date où il avait fait une chute d’une échelle de deux mètres sur une barre métallique, se percutant le dos. Le Dr G.________ a relevé que trois jours après l’accident, l’intéressé avait ressenti de fortes douleurs au niveau lombaire et qu’elles étaient devenues de plus en plus importantes avec le temps ; à la date de l’examen, elles s’étendaient de la région lombaire à la région cervicale. L’assuré présentait également des douleurs et des fourmillements sur la</w:t>
      </w:r>
    </w:p>
    <w:p>
      <w:r>
        <w:t>- 29 - face externe de la cuisse gauche avec perte de sensibilité, des lâchages du membre inférieur gauche à la descente d’escaliers et des difficultés à dormir. Le médecin a également réalisé un examen clinique et s’est fondé sur le dossier radiologique de l’assuré (en particulier les IRM des 22 octobre 2013, 30 juin 2014 et 2 septembre 2015 réalisées par le Dr T.________) pour poser ses diagnostics et évaluer la capacité de travail de l’assuré. Le rhumatologue a ainsi retenu, comme l’ensemble de ses confrères (voir notamment rapport du Dr Z.________ du 1er février 2014 et rapport des Drs L.________ et W.________ du 7 avril 2014), que l’assuré présentait de discrètes discopathies L3-L4 et L4-L5 avec déchirure annulaire au niveau L4-L5, ainsi que des séquelles de maladie de Scheuerman, avec une hernie de Schmorl du plateau supérieur de L4 avec composante d’œdème, présente dès la 1ère IRM d’octobre 2013. Le spécialiste a ainsi tenu compte de ces diagnostics pour retenir des limitations fonctionnelles d’épargne du rachis, lesquelles sont largement comparables à celles retenues par d’autres médecins (cf. rapport du Dr R.________ du 19 février 2014, rapport du Dr L.________ du 18 septembre 2014, avis de la Dresse B.________ du 11 novembre 2014). Compte tenu de ces limitations, qui n’étaient pas respectées dans l’activité de mécanicien indépendant, le Dr G.________ a retenu une incapacité totale de travail dans cette activité. Par contre, dans une activité adaptée aux limitations fonctionnelles de l’assuré, le médecin a estimé qu’il n’y avait aucune raison biomécanique à attester une incapacité de travail, et que par conséquent, il convenait de considérer que sa capacité de travail était complète six mois après la contusion lombaire. Le Dr G.________ a de plus constaté que l’assuré présentait une importante démonstrativité avec un comportement algique marqué et des signes de non organicité selon Waddel et Kummel. Tout en relevant que la psychiatre avait retenu un diagnostic de majoration des symptômes physiques pour des raisons psychologiques non invalidant, le Dr G.________ a estimé que c’était en définitive ces éléments qui expliquaient l’évolution défavorable de la situation de l’assuré, répétant qu’il n’existait pas de raison physique à ce que l’assuré ne puisse pas effectuer une activité adaptée aux limitations fonctionnelles requises par la pathologie ostéo-articulaire.</w:t>
      </w:r>
    </w:p>
    <w:p>
      <w:r>
        <w:t>- 30 - Vu ce qui précède, les conclusions du Dr G.________ sont claires et dûment motivées, reposent sur une anamnèse complète et détaillée, un examen clinique de l’assuré, et prennent en compte les indications subjectives de ce dernier. Il y a dès lors lieu de conférer pleine valeur probante à son appréciation. On relèvera en outre qu’elle est corroborée par celle du Dr L.________ qui avait posé, dans son rapport du 18 septembre 2014, un pronostic bon à long terme au plan strictement somatique mais relevé que le patient était très stressé, présentait de multiples auto-limitations, et se trouvait dans un contexte psychosocial difficile. Or, il convient de rappeler que selon la jurisprudence, des facteurs psychosociaux et socioculturels ne constituent pas des atteintes à la santé entraînant une incapacité de gain au sens de l'art. 4 LAI (cf. supra consid. 3a). De plus, le Dr L.________ avait lui aussi considéré que dans une activité adaptée à ses limitations fonctionnelles, la capacité de travail de l’assuré pouvait être considérée comme complète. Quant au Dr V.________, dans son rapport du 5 novembre 2015 produit par le recourant, il ne pose pas de diagnostic différent de ceux retenus par les médecins ayant précédemment examiné l’assuré. Le status ne diffère pas non plus fondamentalement de celui observé par le Dr G.________. Par ailleurs le Dr V.________ ne se prononce pas sur la capacité de travail du recourant, ne faisant qu’envisager les mesures qui pourraient le soulager ; à cet égard, si le médecin a relevé que ce dernier se disait prêt à consulter le Dr N.________ pour une prise en charge pluridisciplinaire intense qu’il avait précédemment refusée, cette seule circonstance ne saurait justifier un complément d’instruction comme il le requiert, ni ne permet de faire douter des conclusions du Dr G.________. En effet, il apparaît qu’une telle prise en charge ne modifierait pas significativement la capacité de travail de l’assuré dans une activité adaptée, mais ne permettrait qu’une amélioration de ses capacités fonctionnelles (cf. en ce sens rapport du Dr L.________ du 18 septembre 2014). Les rapports du Dr Z.________ ne permettent pas de remettre en cause l’appréciation de la capacité de travail au plan physique retenue par le Dr G.________. En effet, d’une part, l’aggravation de l’état de santé et l’incapacité totale de travail de l’assuré dans toute activité dont fait état</w:t>
      </w:r>
    </w:p>
    <w:p>
      <w:r>
        <w:t>- 31 - le Dr Z.________ dans son rapport du 20 mai 2014 à l’OAI paraissent essentiellement fondées sur les plaintes du recourant, puisque l’IRM réalisée le 30 juin 2014 conclut à une situation inchangée de la pathologie physique, tout comme l’IRM du 2 septembre 2015. De plus, les rapports du Dr Z.________ ne mentionnent pas que l’assuré présente un stress important et des auto-limitations, éléments qui ont été relevés par la plupart des autres somaticiens et jouent selon toute vraisemblance un rôle dans la présentation du tableau clinique (cf. supra et rapport du 22 janvier 2014 du Dr R.________ in fine). Quant aux divers certificats médicaux du Dr Z.________ attestant la poursuite de l’incapacité totale de travail notamment à compter du 1er octobre 2015, de même que son courrier du 11 février 2016 au conseil du recourant, ils ne sont pas suffisamment motivés pour faire douter des conclusions du rapport du Dr G.________ et de celui du Dr L.________ susmentionné. Enfin, on ne saurait considérer déterminantes les observations de M. S.________ (rapport du 7 septembre 2015) qui fait état de difficultés importantes à la marche (« même avec l’aide de physiothérapie, il a de la peine à avoir une amélioration au niveau de la marche suite douleurs dorsale (Hanches, Genoux pieds), il s’appuie sur les murs pour marcher à l’intérieur. Il est accompagné par son épouse pour chaque déplacement à intérieure et extérieur »). En effet, le Dr G.________ n’a pas observé de telles difficultés (cf. rapport du 16 novembre 2015 : « L’assuré marche bien seul ne doit pas s’appuyer au mur, à certains moments la démarche est rapide »). bb) Au plan psychiatrique, le recourant considère que ses troubles n’ont pas été pris en compte à leur juste mesure, alléguant que ceux-ci sont « indéniables, d’importance et très certainement invalidants ». Pour apprécier la capacité de travail au plan psychiatrique, l’OAI s’est fondé sur l’examen réalisé par la Dresse D.________kx du SMR. Celle-ci a retenu que l’assuré ne présentait « aucune pathologie psychiatrique grave » retenant uniquement un trouble de l’adaptation</w:t>
      </w:r>
    </w:p>
    <w:p>
      <w:r>
        <w:t>- 32 - avec perturbation des autres émotions depuis l’accident et par conséquent « aucune incapacité de travail pour raison psychiatrique ». Outre que l’on ignore à quels troubles « indéniables » le recourant se réfère, l’on constate que la psychiatre, lors de son examen clinique a bien noté que l’assuré présentait quelques troubles de la concentration, sans troubles de la mémoire. Elle a aussi relevé qu’il avait des troubles de la lignée anxieuse « dans le cadre de sa situation financière », lesquels n’atteignaient toutefois pas l’ampleur d’un état d’anxiété généralisée comme l’avait retenu la psychiatre traitante, la Dresse K.________, ou celle d’une phobie sociale - puisque l’assuré expliquait pouvoir faire ses courses et sortir avec son épouse ; la Dresse D.________ a encore exclu des accès de panique (anamnestiquement ou en cours d’examen). Elle n’a en outre pas constaté d’épisode dépressif majeur, expliquant que l’assuré ne présentait pas un net abaissement de la thymie, mais qu’il était surtout en colère contre sa situation actuelle et contre ce qu’il considérait comme un manque d’efficacité du corps médical. L’on ne pouvait par ailleurs pas parler d’un abaissement net du dynamisme, dès lors que même si l’intéressé avait une vie sociale réduite, il continuait de s’occuper de ses enfants, de sortir régulièrement et d’avoir une bonne intégration familiale. Il ne présentait pas de sentiment de culpabilité, ni de variation pondérale majeure. S’il souffrait de troubles du sommeil, ayant un sommeil de mauvaise qualité, cela devait être mis en relation avec le manque d’activité durant la journée. En définitive, la Dresse D.________ constate que l’assuré souffre d’un trouble d’adaptation avec perturbation des autres émotions depuis son accident, non invalidant. Ainsi, les conclusions de la Dresse D.________kx sont claires et convaincantes, prennent en compte les plaintes de l’assuré et reposent sur une anamnèse complète. La psychiatre du SMR a également discuté des points litigieux importants, prenant en compte en particulier l’avis divergeant de la Dresse K.________ et expliquant de manière probante pourquoi elle s’en est distancié. L’appréciation de la Dresse D.________ remplit donc les critères jurisprudentiels permettant de lui conférer pleine</w:t>
      </w:r>
    </w:p>
    <w:p>
      <w:r>
        <w:t>- 33 - valeur probante. Le grief du recourant selon lequel ses troubles n’ont pas été pris en considération à leur juste mesure n’est donc pas fondé. Le rapport du 7 septembre 2015 de M. S.________ ne permet pas de remettre en cause l’appréciation de la Dresse D.________kx. En effet, d’une part, ce dernier a énuméré plusieurs symptômes du registre psychiatrique, sans toutefois réellement apprécier leur gravité ou indiquer dans quelle mesure ou pour quelle raison ils auraient valeur d’une maladie incapacitante. Or, la psychiatre du SMR a procédé de manière convaincante à une telle évaluation, prenant en compte par ailleurs la plupart des symptômes décrits par l’infirmier (cf. le rapport SMR du 16 novembre 2015, pp. 14-15). D’autre part, la Dresse D.________ qui est un médecin spécialisé en psychiatrie, apparaît plus à même d’apprécier la situation médicale de l’assuré, que M. S.________, qui est infirmier (cf. TF 9C_268/2011 du 26 juillet 2011 consid. 6.2.3 et les références). cc) En définitive, la situation médicale est établie au degré de la vraisemblance prépondérante, sur la base du rapport convaincant du Dr G.________ et de la Dresse D.________, de sorte que leurs conclusions doivent être suivies. La Cour de céans est ainsi convaincue, par appréciation anticipée des preuves, que d’autres mesures probatoires ne pourraient plus modifier cette appréciation (cf. TF 9C_440/2008 du 5 août 2008, TFA U 193/02 du 3 décembre 2002 consid. 1.2 et les références). Il n’y a donc pas lieu de mettre en oeuvre une expertise pluridisciplinaire (neurologique, psychiatrique et antalgique) comme le requiert le recourant. c) Le recourant fait encore grief à l’OAI de ne pas avoir précisé quelle activité il pourrait exercer « dans un milieu rassurant et calme », relevant que de toute manière seule une activité en milieu protégé est envisageable. Or, contrairement à ce que soutient le recourant, il ressort de son dossier AI qu’un spécialiste en réadaptation a donné des exemples plus précis d’activités adaptées à ses limitations fonctionnelles que le</w:t>
      </w:r>
    </w:p>
    <w:p>
      <w:r>
        <w:t>- 34 - simple renvoi à l’Enquête suisse sur la structure des salaires (ci-après : ESS), à savoir un travail simple et répétitif dans le domaine industriel léger, par exemple montage, contrôle et surveillance d’un processus de production, ouvrier à l’établi dans des activités simples et légères, ouvrier dans le conditionnement (cf. rapport du 20 novembre 2014). En outre, vu que le rapport d’examen clinique du SMR du 16 novembre 2015 conclut à l’absence d’atteinte psychiatrique avec répercussions sur la capacité de travail, la limitation fonctionnelle retenue par l’OAI selon laquelle l’assuré devrait œuvrer dans un milieu « rassurant et calme » n’apparaît pas indispensable. Quoiqu’il en soit, la présence d’une telle limitation fonctionnelle ne permettrait pas de conclure, comme le soutient le recourant, que seule une activité en milieu protégé lui est accessible. En effet, pour fixer le revenu d’invalide, la jurisprudence admet de se fonder sur le revenu auquel peuvent prétendre les assurés effectuant des activités simples et répétitives (TA1, niveau 4 de qualification) selon l’ESS, lorsqu’ils ne peuvent plus accomplir leur ancienne activité parce qu'elle est physiquement trop astreignante pour leur état de santé, mais conservent néanmoins une capacité de travail importante dans des travaux légers. Pour ces assurés, ce salaire statistique est en effet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(ATF 129 V 472 consid. 4.2.1 ; TF 9C_692/2015 du 23 février 2016 consid. 3.1 ; TFA I 171/04 du 1er avril 2005 consid. 4.2, in REAS 2005 p. 240). En l’occurrence, l'affection touchant le recourant n'est pas de nature à remettre en cause le bien-fondé de ce raisonnement, car ses limitations fonctionnelles concernant l’épargne du rachis n’apparaissent pas particulièrement contraignantes, que soient comprises ou non les limitations d’ordre psychique précitées.</w:t>
      </w:r>
    </w:p>
    <w:p>
      <w:r>
        <w:rPr>
          <w:b/>
        </w:rPr>
        <w:t>E. 5</w:t>
      </w:r>
    </w:p>
    <w:p>
      <w:r>
        <w:t>a) Vu ce qui précède, les griefs du recourant sont mal fondés, de sorte que le recours est rejeté, ce qui entraîne la confirmation de la décision litigieuse.</w:t>
      </w:r>
    </w:p>
    <w:p>
      <w:r>
        <w:t>- 35 - b) En dérogation à l’art. 61 let. a LPGA, la procédure de recours en matière de contestations portant sur l’octroi ou le refus de prestations de l’AI devant le tribunal cantonal des assurances est soumise à des frais de justice (art. 69 al. 1bis LAI). En l’occurrence, les frais sont fixés à 400 francs vu l’ampleur du litige (art. 69 al. 1bis, 2ème phrase, LAI) et mis à la charge du recourant qui succombe (art. 49 al. 1 LPA-VD). c) Le recourant, qui n’obtient pas gain de cause n’a pas le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