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ZD15.053138 vom 19. Dezember 2016</w:t>
      </w:r>
    </w:p>
    <w:p>
      <w:r>
        <w:t>VD Tribunal cantonal, 2016-12-19, FR</w:t>
      </w:r>
    </w:p>
    <w:p>
      <w:r>
        <w:rPr>
          <w:b/>
        </w:rPr>
        <w:t xml:space="preserve">Quelle: </w:t>
      </w:r>
      <w:r>
        <w:t>https://mcp.opencaselaw.ch/entscheid/vd_gerichte_ZD15.053138</w:t>
      </w:r>
    </w:p>
    <w:p>
      <w:r>
        <w:t>FR: VD_GERICHTE ZD15.053138 du 19 décembre 2016</w:t>
      </w:r>
    </w:p>
    <w:p>
      <w:r>
        <w:t>IT: VD_GERICHTE ZD15.053138 del 19 dicembre 2016</w:t>
      </w:r>
    </w:p>
    <w:p>
      <w:pPr>
        <w:pStyle w:val="Heading2"/>
      </w:pPr>
      <w:r>
        <w:t>Erwägungen</w:t>
      </w:r>
    </w:p>
    <w:p>
      <w:r>
        <w:rPr>
          <w:b/>
        </w:rPr>
        <w:t>E. 5</w:t>
      </w:r>
    </w:p>
    <w:p>
      <w:r>
        <w:t>Se fondant sur la position du SMR et les conclusions du rapport d’expertise psychiatrique du 9 mars 2015, l’intimé, aux termes de la décision entreprise, a retenu que le recourant disposait d’une entière capacité de travail dans une activité adaptée à ses limitations fonctionnelles somatiques et qu’il ne présentait par ailleurs aucune atteinte psychiatrique. Le recourant, pour sa part, a fait valoir que l’intimé n’avait pas évalué sa situation médicale correctement, se prévalant essentiellement de l’appréciation de ses médecins traitants à l’UPA. a) Sur le plan somatique, l’intimé a considéré que les traumatismes subis par le recourant à l’épaule et au genou droits excluaient l’exercice de l’activité habituelle de maçon de façon définitive. Par contre, dans une activité adaptée, tenant compte de ses limitations fonctionnelles, le recourant disposait d’une pleine capacité de travail dès le 22 mai 2012. Le recourant ne conteste pas sa capacité de travail résiduelle, s’agissant des limitations strictement physiques. En l'absence de grief sur ce point-là, il n'y a pas lieu de revenir plus en détail sur cet aspect de la décision litigieuse, qui ne prête pas flanc à la critique. b) Reste à examiner l’aspect psychique. aa) Dans leur rapport médical du 29 janvier 2013, le Dr G.________ et la Dresse X.________ à l’UPA ont posé le diagnostic de trouble de l’adaptation avec réaction mixte, anxieuse et dépressive. Ils ont retenu une capacité de travail de 50% dans une activité adaptée et</w:t>
      </w:r>
    </w:p>
    <w:p>
      <w:r>
        <w:t>- 24 - confirmé leur position dans un avis complémentaire du 4 juin 2013. Le 4 novembre 2013, les Dresses V.________ et X.________ faisaient état d’une recrudescence de symptômes en lien avec la décision de l’assureur- accidents mettant un terme à ses prestations. L’aspect réactionnel de cette décompensation faisait cependant espérer une amélioration de l’état psychique de l’assuré à court terme, avec un retour progressif d’une capacité de travail adaptée. Toutefois, le 29 avril 2014, les Dresses [...] et [...] observaient une cristallisation de la pathologie réactionnelle au contexte, avec un fort sentiment d’inutilité et une perte d’espoir conduisant à des idées suicidaires scénarisées. Dans ce contexte, l’OAI a mis en œuvre une expertise psychiatrique auprès du CNP. Dans son rapport du 9 mars 2015, le Dr L.________, à l’instar des médecins de l’UPA, a reconnu le trouble de l’adaptation avec réaction mixte anxio- dépressive (F43.2) depuis le mois de juin 2012. Il n’a cependant retenu aucune incapacité de travail sur le plan psychiatrique. bb) Sur le plan psychique, l’intimée s’est essentiellement fondé sur le rapport d’expertise du Dr L.________ pour exclure toute incapacité de travail. Ce rapport d’expertise repose sur un examen personnel du recourant datant du 4 mars 2015 ainsi que sur les pièces médicales recueillies par l’intimé. Il récapitule l’anamnèse du recourant, singulièrement l’anamnèse familiale, personnelle, sociale et professionnelle. Il expose en outre les plaintes et données objectives de l’intéressé. Puis, l’expert fait part de son diagnostic. Les atteintes sont ensuite discutées par l’expert, lequel ponctue son rapport en répondant aux questions soulevées par l'intimé essentiellement au sujet de la capacité de travail du recourant. A cet égard, l’expert précise que le recourant conserve une pleine capacité de travail sur le plan psychique. Il observe certes un tableau de type réactionnel en lien avec une difficulté liée à une étape de la vie professionnelle, sans toutefois relever la présence d’une clinique dépressive ou anxieuse qui puisse être considérée comme sévère et handicapante. Le constat de l’absence de gravité des symptômes anxieux et dépressifs présentés par le recourant est corroboré par les tests HARS (Hamilton Anxiety Rating Scale) et MADRS (Echelle Montgomery-Asberg d’évaluation de la dépression)</w:t>
      </w:r>
    </w:p>
    <w:p>
      <w:r>
        <w:t>- 25 - auxquels l’expert a procédé. Pour le Dr L.________, la décision du recourant d’exercer la profession de chauffeur de taxi résulte d’un choix personnel, sans lien avec une maladie ou une limitation psychique quelconque. A l’instar des médecins traitants, le Dr L.________ pose le diagnostic de trouble de l’adaptation avec réaction mixte anxio- dépressive, mais au contraire de ces derniers, il articule de façon convaincante les raisons pour lesquelles il retient une pleine capacité de travail du recourant sur le plan psychique. Pour leur part, les médecins de l’UPA avaient considéré, dans leur rapport du 29 janvier 2013, que les symptômes anxieux que présentait le recourant dans le cadre d’un épisode dépressif « peuvent constituer des restrictions ». Sur cette base, ils avaient retenu une capacité de travail diminuée de 50%. Cette appréciation n’a plus été véritablement discutée par la suite. Une évaluation ergothérapique devait permettre de déterminer les compétences et capacité résiduelle du recourant (rapport médical du 4 juin 2013), mais un tel document n’apparaît en fin de compte pas au dossier. Interpellée par le SMR, la Dresse V.________ de l’UPA avait par ailleurs admis la difficulté à déterminer la capacité de travail résiduelle du recourant (avis médical du SMR du 20 mai 2014). Dans ce contexte, les réponses apportées par l'expert aux questions posées sont particulièrement exhaustives et de nature à emporter la conviction. Il s’agit donc de constater que le rapport du DrL.________ du 9 mars 2015, qui se fonde sur un examen clinique complet et détaillé du recourant sur le plan psychiatrique tout en prenant en compte ses plaintes, contient des conclusions motivées qui donne une appréciation claire et cohérente de sa situation médicale, de sorte qu’il remplit l’ensemble des conditions requises par la jurisprudence fédérale pour se voir conférer pleine valeur probante (cf. considérant 4a supra). cc) L’UPA n’est pas convaincant dans sa nouvelle analyse de diagnostic, soit celui de schizophrénie indifférenciée due à la présence de prodromes depuis plusieurs années et qui se sont progressivement aggravés (courrier du 18 mars 2016 des Drs G.________ et [...]). Ainsi que</w:t>
      </w:r>
    </w:p>
    <w:p>
      <w:r>
        <w:t>- 26 - le relève le SMR dans son avis du 18 avril 2016, le rapport du 18 mars 2016 ne fait pas mention d’indicateurs clairs évoquant un état pathologique susceptible d’entrer dans la définition d’un tel diagnostic. Par ailleurs, les Drs G.________ et [...] ne se sont pas prononcés sur le début du caractère incapacitant de l’affection. A cet égard, les allégations du recourant qui situe le début de la pathologie de schizophrénie indifférenciée à la date de sa première consultation (cf. détermination du recourant du 30 juin 2016) est sans pertinence. A supposer toutefois que le diagnostic de schizophrénie indifférenciée repose sur des observations véritablement nouvelles, et non sur une simple appréciation divergente – mais insuffisamment motivée – d’un état de santé inchangé depuis l’expertise du Dr L.________, il serait tout au plus de nature à justifier le réexamen du dossier sous l’angle d’une nouvelle demande. Il appartiendra à l’intimé d’examiner cette question, qui relève de sa compétence. Dans ce contexte, aucun élément ne justifie de réinterpeler l’expert ni de mettre en œuvre une nouvelle expertise. Dans ces conditions, force est d’admettre que, sur le plan psychiatrique, les conclusions du Dr L.________ sont convaincantes, qu’aucun motif pertinent ne permet de les remettre en cause. Sur cette base, on retiendra donc que le recourant ne présente aucune atteinte du registre psychiatrique susceptible d’amoindrir sa capacité de travail. Dans ce contexte, la position du SMR et, corollairement, de l’OAI échappe donc à la critique.</w:t>
      </w:r>
    </w:p>
    <w:p>
      <w:r>
        <w:rPr>
          <w:b/>
        </w:rPr>
        <w:t>E. 6</w:t>
      </w:r>
    </w:p>
    <w:p>
      <w:r>
        <w:t>Cela étant constaté, encore faut-il déterminer le degré d’invalidité présenté par le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w:t>
      </w:r>
    </w:p>
    <w:p>
      <w:r>
        <w:t>- 27 - corrélation avec l'art. 16 LPGA). La comparaison des revenus s'effectue, en règle générale, en chiffrant aussi exactement que possible les montants de ces deux revenus et en les confrontant l'un avec l'autre, la différence permettant de calculer le taux d'invalidité.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129 V 472 consid. 4.2.1 ; TF 9C_260/2013 du</w:t>
      </w:r>
    </w:p>
    <w:p>
      <w:r>
        <w:rPr>
          <w:b/>
        </w:rPr>
        <w:t>E. 9</w:t>
      </w:r>
    </w:p>
    <w:p>
      <w:r>
        <w:t>août 2013). En cas de recours à l’ESS, il se justifie d’examiner l’opportunité d’une déduction supplémentaire sur le revenu d’invalide (abattement). La mesure dans laquelle les salaires ressortant des statistiques doivent par conséquent être réduits dépend de l'ensemble</w:t>
      </w:r>
    </w:p>
    <w:p>
      <w:r>
        <w:t>- 28 -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b) En l’espèce, l’intimé a fait application de la méthode générale de comparaison des revenus, le recourant exerçant une activité professionnelle à temps complet avant l’accident du 25 août 2010. L’ancien employeur du recourant a déclaré que le salaire annuel de ce dernier correspondant à un taux d’activité de 100 % était en 2012 de 67'036 fr. 85. Concernant le revenu d’invalide, l’intimé a retenu le salaire auquel peuvent prétendre les hommes effectuant des activités simples et répétitives dans le secteur privé (production et services) ressortant du tableau de l’ESS 2010, niveau de qualification 1, soit 4'901 fr. douze fois l’an. Après adaptation de ce chiffre à 2012 et à la durée de travail hebdomadaire moyenne usuelle dans les entreprises, le montant annuel du revenu d’invalide se montait à 62'735 fr. 84. Ce calcul est correct et peut être repris. L’intimé a ensuite tenu compte d’un abattement de 10 % sur le revenu d’invalide en raison des limitations fonctionnelles présentées par le recourant.</w:t>
      </w:r>
    </w:p>
    <w:p>
      <w:r>
        <w:t>- 29 -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et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Enfin, il y a lieu de rappeler que de jurisprudence constante, la déduction globale maximale est limitée à 25% (TF 9C_652/2014 du 20 janvier 2015 consid. 3.1). En l’occurrence, il appert que l’intimé a retenu un abattement de 10% eu égard aux limitations fonctionnelles du recourant. Ces limitations sont sans conteste de nature à influer sur les perspectives salariales du recourant, en tant qu'elles sont susceptibles de constituer un désavantage par rapport à des travailleurs jouissant d'une pleine capacité de travail et pouvant être engagés comme tels. Pour le reste, s’il est vrai que le recourant n’a pas de formation particulière, il n’en demeure pas moins que le manque de formation professionnelle ne peut être considéré comme un critère déterminant au regard de la nature des activités encore exigibles (selon l’ESS, niveau de qualification 1 : tâches physiques ou manuelles simples ; voir TF 9C_297/2011 du 31 janvier 2012 consid. 4.1.5 ; TF 9C_713/2009 du 22 juillet 2010 consid. 4.3 ; TF 9C_377/2009 du 20 janvier 2010 consid. 4.5). Le recourant maîtrise le français, à tout le moins, rien au dossier ne permet de penser le</w:t>
      </w:r>
    </w:p>
    <w:p>
      <w:r>
        <w:t>- 30 - contraire. En tant que ressortissant d’un Etat de l’Union européenne qui vit déjà en Suisse depuis plusieurs années, son statut d’étranger n’est pas précaire pour exercer une activité lucrative (notamment art. 6 ss annexe I de l’Accord sur la libre circulation des personnes [ALCP]). Son âge n’est pas à un point aussi avancé qu’il soit proche de l’âge de la retraite. En 2011, date du dépôt de sa demande de prestations de l’assurance-invalidité, il avait 41 ans et n’avait pas encore 50 ans au moment de la décision litigieuse. Par ailleurs, le Tribunal fédéral a considéré que la courbe de salaire avait tendance à se stabiliser avec l’âge, mais que l'âge n'entraînait généralement pas de baisse de salaire dans la catégorie d’activités simples, notamment à l’âge du recourant (VSI 1999 p. 251 ; TF 9C_130/2010 du 14 avril 2010 consid. 3.3.3). Au vu du contexte personnel et professionnel de ce dernier, et compte tenu de l’absence de trouble psychique invalidant dont le recourant se prévalait, la déduction d'un abattement supérieur aux 10 % admis par l’intimé ne s’impose pas. Ainsi, le revenu d’invalidité s’élève à 56'462 fr., et la perte de gain à 10’574 francs. Il en résulte un degré d’invalidité de 15.77 %, ce qui ne donne pas droit à des prestations de l’assurance-invalidité. 7. a) En définitive, la Cour de céans retient que la décision du 2 novembre 2015 échappe à la critique en tant qu'elle retient que le recourant conserve une pleine capacité de travail dans une activité adaptée aux limitations fonctionnelles telles que retenues par le SMR à compter du 22 mai 2012. En raison du dépôt de la demande de prestations le 10 août 2011, alors que l'incapacité de travail remonte au</w:t>
      </w:r>
    </w:p>
    <w:p>
      <w:r>
        <w:rPr>
          <w:b/>
        </w:rPr>
        <w:t>E. 10</w:t>
      </w:r>
    </w:p>
    <w:p>
      <w:r>
        <w:t>septembre 2010, la rente ne peut être versée que dès le 1er février 2012 (soit après l'écoulement d'un délai de six mois après le dépôt de la demande de prestations de l’assurance-invalidité ; art. 29 al. 1 LAI), alors que le droit potentiel à la rente est né le 1er septembre 2011 (art. 28 al. 1 LAI). La rente ne peut être allouée que jusqu’au 31 août 2012, date à laquelle une pleine capacité de travail dans une activité adaptée était reconnue (soit trois mois après l’amélioration constatée en mai 2012).</w:t>
      </w:r>
    </w:p>
    <w:p>
      <w:r>
        <w:t>- 31 - Pour le surplus, la présente procédure exclut d'ordonner des examens complémentaires, en l’occurrence la mise en œuvre d’une expertise médicale, comme le demande le recourant. En définitive, une telle mesure d’instruction ne serait pas de nature à modifier les considérations qui précèdent (appréciation anticipée des preuves ; cf. consid. 5b ci-dessus ; ATF 122 lI 464 consid. 4a ; TF 8C_764/2009 du 12 octobre 2009 consid. 3.2, 9C_440/2008 du 5 août 2008), puisque les faits pertinents ont pu être constatés à satisfaction de droit. b) Il s'ensuit que le recours, mal fondé, doit être rejeté et la décision attaquée confirmée, sans qu'il y ait lieu de procéder aux mesures d'instruction complémentaire requises par le recourant. c)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procédure doivent être arrêtés à 400 francs et être mis à la charge du recourant, qui succombe. d) Vu l’issue du litige, il n’y a pas lieu d’allouer de dépens au recourant (cf. art. 61 let. g LPGA).</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