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ZD15.043555 vom 9. November 2015</w:t>
      </w:r>
    </w:p>
    <w:p>
      <w:r>
        <w:t>VD Tribunal cantonal, 2015-11-09, FR</w:t>
      </w:r>
    </w:p>
    <w:p>
      <w:r>
        <w:rPr>
          <w:b/>
        </w:rPr>
        <w:t xml:space="preserve">Quelle: </w:t>
      </w:r>
      <w:r>
        <w:t>https://mcp.opencaselaw.ch/entscheid/vd_gerichte_ZD15.043555</w:t>
      </w:r>
    </w:p>
    <w:p>
      <w:r>
        <w:t>FR: VD_GERICHTE ZD15.043555 du 9 novembre 2015</w:t>
      </w:r>
    </w:p>
    <w:p>
      <w:r>
        <w:t>IT: VD_GERICHTE ZD15.043555 del 9 novembre 2015</w:t>
      </w:r>
    </w:p>
    <w:p>
      <w:pPr>
        <w:pStyle w:val="Heading2"/>
      </w:pPr>
      <w:r>
        <w:t>Erwägungen</w:t>
      </w:r>
    </w:p>
    <w:p>
      <w:r>
        <w:rPr>
          <w:b/>
        </w:rPr>
        <w:t>E. 30</w:t>
      </w:r>
    </w:p>
    <w:p>
      <w:r>
        <w:t>jours dès la notification de la décision sujette à recours,</w:t>
      </w:r>
    </w:p>
    <w:p>
      <w:r>
        <w:t>- 4 - que l’assuré ne conteste pas que le délai de recours était largement échu au moment du dépôt de son écriture le 15 octobre 2015, mais demande implicitement une restitution du délai de recours ; attendu que selon le droit cantonal de procédure, la prolongation ou la restitution d'un délai judiciaire est effectivement une possibilité ‒ et non une obligation ‒ accordée à une partie pour autant qu'il existe des motifs suffisants (art. 21 al. 2 et 22 LPA-VD [loi cantonale vaudoise du 28 octobre 2008 sur la procédure administrative ; RSV 173.36]), qu’aux termes de l’art. 41 LPGA, applicable par renvoi de l’art.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qu’en l’espèce, bien qu’invité à s’expliquer par courrier recommandé du 15 octobre 2015 de la juge instructrice, l’assuré n’a pas établi s’être trouvé dans l’impossibilité d’agir dans le délai légal que ce soit par lui-même ou, à tout le moins, par l’intermédiaire d’un tiers, qu'on ne voit d'ailleurs pas ce qui l'empêchait de consulter à temps son dossier et de recourir dans le délai légal, que dans ces conditions, toute restitution du délai de recours est exclue dans le cas particulier ; attendu au demeurant qu'il n'y a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w:t>
      </w:r>
    </w:p>
    <w:p>
      <w:r>
        <w:t>- 5 - domicile (TF 8C_412/2011 du 30 avril 2012 consid. 3.2 ; TF 8C_621/2007 du 5 mai 2008 consid. 4.2 ; TF 6A.100/2006 du 28 mars 2007 consid. 2.2.1), que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(TF 8C_412/2011 du 30 avril 2012 consid. 3.2 et les arrêts cités), que cette présomption entraîne un renversement du fardeau de la preuve au détriment du destinataire dans le sens que si ce dernier ne parvient pas à établir l'absence de dépôt dans sa boîte ou sa case postale au jour attesté par le facteur, la remise est censée avoir eu lieu en ces lieu et date (TF 8C_412/2011 du 30 avril 2012 consid. 3.2 et les arrêts cités), le délai de garde de sept jours commençant alors à courir et, à son terme, la notification étant réputée avoir lieu (fiction), avec les conséquences procédurales que cela implique, que du fait que l'absence de remise constitue un fait négatif, le destinataire ne doit pas en apporter la preuve stricte ; il suffit d'établir qu'il existe une vraisemblance prépondérante que des erreurs se sont produites lors de la notification (TF 2C_780/2010 du 21 mars 2011 consid. 2.4; TF 2C_38/2009 du 5 juin 2009 consid. 4.1), que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(TF 2C_38/2009 du 5 juin 2009 consid. 5.3) ou lorsque la mention « avisé pour retrait » ne figurait pas dans le résultat des recherches effectuées par la Poste au moyen du système «Track &amp; Trace» (TF 2C_780/2010 du 21 mars 2011 consid. 2.7),</w:t>
      </w:r>
    </w:p>
    <w:p>
      <w:r>
        <w:t>- 6 - qu'en l'espèce, l'assuré n'apporte aucun élément qui montrerait que des erreurs se sont produites lors de la notification par le tribunal du courrier du 15 octobre 2015 ou que des erreurs de distributions des avis de retrait avaient eu lieu dans l'office de poste de son domicile, qu'il ressort d'ailleurs du système Track and Trace que l'avis de retrait de l'envoi recommandé du 15 octobre (n° [...]) a été déposé dans la boîte aux lettres de l'assuré le 16 octobre 2015 à 8 heures 25, que dans ces conditions, la présomption selon laquelle l'avis de retrait en question lui a bien été distribué le 16 octobre 2015 est applicable, de sorte qu'il faut retenir que le tribunal a avisé correctement l'assuré de l'octroi d'un délai pour s'expliquer sur la tardiveté du recours ; attendu qu’au vu des éléments précités, le dossier de la cause est complet, permettant à la Cour de céans de statuer, sans qu’il soit nécessaire de compléter l’instruction (cf. ATF 134 I 140 consid. 5.3) ; attendu que le recours du 13 octobre 2015 doit par conséquent être déclaré irrecevable pour cause de tardiveté (cf. art. 78 al. 3 LPA-VD) ; attendu que, selon la jurisprudence du Tribunal fédéral (cf. ATF 137 I 161 consid. 4.5), les cas d'irrecevabilité doivent être tranchés par une Cour du tribunal composée ordinairement de trois juges (art. 94 LPA- VD), lorsque la valeur litigieuse au fond est supérieure à 30'000 francs ; qu’il convient de statuer sans frais ni dépens (art. 61 let. a et g LPGA, art. 55 LPA-VD), selon la procédure simplifiée prévue par l’art. 82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