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ZD15.039110 vom 4. März 2016</w:t>
      </w:r>
    </w:p>
    <w:p>
      <w:r>
        <w:t>VD Tribunal cantonal, 2016-03-04, FR</w:t>
      </w:r>
    </w:p>
    <w:p>
      <w:r>
        <w:rPr>
          <w:b/>
        </w:rPr>
        <w:t xml:space="preserve">Quelle: </w:t>
      </w:r>
      <w:r>
        <w:t>https://mcp.opencaselaw.ch/entscheid/vd_gerichte_ZD15.039110</w:t>
      </w:r>
    </w:p>
    <w:p>
      <w:r>
        <w:t>FR: VD_GERICHTE ZD15.039110 du 4 mars 2016</w:t>
      </w:r>
    </w:p>
    <w:p>
      <w:r>
        <w:t>IT: VD_GERICHTE ZD15.039110 del 4 marzo 2016</w:t>
      </w:r>
    </w:p>
    <w:p>
      <w:pPr>
        <w:pStyle w:val="Heading2"/>
      </w:pPr>
      <w:r>
        <w:t>Erwägungen</w:t>
      </w:r>
    </w:p>
    <w:p>
      <w:r>
        <w:rPr>
          <w:b/>
        </w:rPr>
        <w:t>E. 1</w:t>
      </w:r>
    </w:p>
    <w:p>
      <w:r>
        <w:t>Limitations fonctionnelles articulaires : il existe une limitation à la marche, la position debout prolongée, aux positions accroupies ou agenouillées, de même que la position assise prolongée. Limitations également des efforts soutenus avec le membre supérieur gauche.</w:t>
      </w:r>
    </w:p>
    <w:p>
      <w:r>
        <w:rPr>
          <w:b/>
        </w:rPr>
        <w:t>E. 2</w:t>
      </w:r>
    </w:p>
    <w:p>
      <w:r>
        <w:t>Quelle est la capacité de travail en % comme maçon ou monteur-électricien ? Compte tenu de ce qui précède, 0%.</w:t>
      </w:r>
    </w:p>
    <w:p>
      <w:r>
        <w:rPr>
          <w:b/>
        </w:rPr>
        <w:t>E. 3</w:t>
      </w:r>
    </w:p>
    <w:p>
      <w:r>
        <w:t>Quelle est la capacité de travail en % dans une activité adaptée du strict point de vue rhumatologique ? Dans une activité légère, manuelle permettant des changements de position fréquents, on peut retenir une capacité de travail de l’ordre de 50%.</w:t>
      </w:r>
    </w:p>
    <w:p>
      <w:r>
        <w:rPr>
          <w:b/>
        </w:rPr>
        <w:t>E. 4</w:t>
      </w:r>
    </w:p>
    <w:p>
      <w:r>
        <w:t>Les atteintes à la santé psychique peuvent, comme les atteintes physiques, entraîner une invalidité au sens de l'art. 4 al. 1 LAI en</w:t>
      </w:r>
    </w:p>
    <w:p>
      <w:r>
        <w:t>- 28 -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ATF 102 V 165;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w:t>
      </w:r>
    </w:p>
    <w:p>
      <w:r>
        <w:rPr>
          <w:b/>
        </w:rPr>
        <w:t>E. 5</w:t>
      </w:r>
    </w:p>
    <w:p>
      <w:r>
        <w:t>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w:t>
      </w:r>
    </w:p>
    <w:p>
      <w:r>
        <w:t>- 29 -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w:t>
      </w:r>
    </w:p>
    <w:p>
      <w:r>
        <w:rPr>
          <w:b/>
        </w:rPr>
        <w:t>E. 6</w:t>
      </w:r>
    </w:p>
    <w:p>
      <w:r>
        <w:t>En l’espèce, les décisions des 13 et 21 juillet 2015 par lesquelles l’OAI a alloué une demi-rente d’invalidité dès le 1er avril 2009 au recourant se fondent sur les avis médicaux successifs du SMR, à savoir ceux des 29 avril 2013, 24 janvier 2014 et 30 juin 2015. L’intimé a estimé ainsi que si l’incapacité de travail était totale à l'échéance du délai d'attente d'une année prévu par la loi, soit en 1999, une capacité de</w:t>
      </w:r>
    </w:p>
    <w:p>
      <w:r>
        <w:t>- 30 - travail de 50% pouvait toutefois être exigée dans l’exercice d’une activité adaptée à l’état de santé dès 1998. L’OAI a considéré en conséquence qu’à l’ouverture du droit à la rente, à partir du 1er avril 2009, l’exercice d’une activité adaptée était exigible à 50%, avec un préjudice économique de 50.29%, ouvrant ainsi à l’assuré le droit à la demi-rente. Le recourant ne remet pas en question - à juste titre - que c’est à compter du 1er avril 2009 que le droit aux prestations de l’AI peut lui être reconnu. Le droit à la rente prend en effet naissance au plus tôt à l’échéance d’une période de six mois à compter de la date à laquelle l’assuré a fait valoir son droit aux prestations conformément à l’art. 29 al. 1 LPGA – soit en l’occurrence le 8 octobre 2008 -, mais pas avant le mois qui suit le 18ème anniversaire de l’assuré (cf. consid. 3c supra). Au plan somatique, le recourant ne critique pas l’appréciation de l’OAI qui suit l’avis de la Dresse Z.________ (cf. avis SMR du 29 avril 2013 du Dr R.________), selon laquelle il est apte à exercer une activité adaptée (légère, manuelle et permettant des changements de position fréquents) au taux de 50% depuis 1998. Le recourant soutient par contre que seule son atteinte somatique aurait été prise en compte par l’intimé pour lui reconnaître le droit à une demi-rente, au détriment de l’aspect psychiatrique. Or, il allègue présenter sur ce dernier plan une totale incapacité de travail et de gain, en se référant pour l’essentiel à l’avis du 15 septembre 2015 du Dr P.________ et de la psychologue T.________. Sur le plan psychiatrique, le recourant a fait l’objet d’une expertise par le Dr L.________ sur la période de décembre 2011 à février 2012. Dans son rapport du 8 mars 2012, cet expert a posé les diagnostics de syndrome de dépendance au cannabis (F12.25), de syndrome de dépendance aux opiacés (F11.22), d’agoraphobie (F40.00), de trouble anxieux non spécifié (état de stress post traumatique subsyndromal) (F41.9) et de trouble dépressif récurrent (épisode actuel moyen) (F33.1). Au terme de son analyse, le Dr L.________ retient qu’en raison du trouble</w:t>
      </w:r>
    </w:p>
    <w:p>
      <w:r>
        <w:t>- 31 - dépressif exclusivement, l’assuré présente une incapacité de travail psychiatrique moyenne de 40% devant être admise dès le 1er juin 1998 et ceci en toute activité professionnelle. Il précise que cette situation devrait rester stable, ajoutant qu’en l’absence d’événements nouveaux, une aggravation ultérieure ne paraît pas probable. L’expert a examiné le recourant à trois reprises sans avoir observé de véritable majoration de la symptomatologie (cf. rapport d’expertise psychiatrique du 8 mars 2012 du Dr L.________, p. 23). En terme de « maladie psychiatrique » au sens strict, le Dr L.________ expose tout d’abord les raisons médicales pour lesquelles la toxicomanie (dépendance au cannabis et aux opiacés) ne peut pas être génératrice d’incapacités de travail dans le cas particulier (cf. rapport d’expertise psychiatrique du 8 mars 2012 du Dr L.________, pp. 14-15 et 19-20). Il relève ensuite une agoraphobie certes bien présente mais dont l’absence de sévérité particulière chez l’expertisé empêche de retenir cette atteinte pour incapacitante dans les métiers exercés jusqu’alors (cf. rapport d’expertise psychiatrique du 8 mars 2012 du Dr L.________, pp. 16 et 20). S’agissant de l’épisode dépressif, qu’il qualifie de degré moyen, le Dr L.________ mentionne retrouver un tableau clinique comparable à celui observé en son temps par les spécialistes précédemment consultés dans leur rapport d’expertise du 18 octobre 2000. Il est d’avis que les discrets éléments d’état de stress post traumatique constatés et vraisemblablement déjà présents avec la même intensité en 2000, n’ont pas valeur incapacitante en tant que tels s’agissant des activités exercées jusqu’alors par l’assuré. Il expose dans son rapport en détail et de manière convaincante les motifs pour lesquels l’état de stress post traumatique consécutif aux tortures vécues par l’intéressé dans son pays natal a évolué vers une rémission, à tout le moins partielle, avant sa venue en Suisse. Il prend spécialement soin</w:t>
      </w:r>
    </w:p>
    <w:p>
      <w:r>
        <w:t>- 32 - d’expliquer en quoi une modification durable de la personnalité en tant que séquelle de cette affection est exclue dans le cas particulier. Ainsi, s’il ne trouve pas tous les critères diagnostiques du trouble d’état de stress post traumatique, le Dr L.________ observe qu’il en reste des signes et symptômes épars (soit des cauchemars, des conduites d’évitement, l’apparition de détresse avec des manifestations neurovégétatives observable à l’évocation des sévices vécues ainsi que des éléments d’hyperéveil relatés par l’assuré lui-même). Si l’assuré a probablement présenté un tableau complet du trouble d’état de stress post traumatique dans les mois suivant ses incarcérations et la torture au [...], la situation a ensuite évolué vers la rémission, l’intéressé s’étant d’ailleurs montré « particulièrement résilient » compte tenu de son parcours depuis lors. L’expert psychiatre en déduit une symptomatologie résiduelle d’état de stress post traumatique qui ne génère pas pour autant de limitations significatives ni d’incapacité de travail dans les activités exercées jusqu’alors par l’assuré (cf. rapport d’expertise psychiatrique du</w:t>
      </w:r>
    </w:p>
    <w:p>
      <w:r>
        <w:rPr>
          <w:b/>
        </w:rPr>
        <w:t>E. 8</w:t>
      </w:r>
    </w:p>
    <w:p>
      <w:r>
        <w:t>Vu ce qui précède, les recours, mal fondés, doivent être rejetés, et les décisions des 13 et 21 juillet 2015 confirmées.</w:t>
      </w:r>
    </w:p>
    <w:p>
      <w:r>
        <w:t>- 37 - a) La procédure est onéreuse;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du recourant, qui succombe (art. 69 al. 1bis LAI; art. 49 al. 1 LPA-VD). Toutefois, dès lors que ce dernier est au bénéfice de l'assistance judiciaire, ces frais sont laissés provisoirement à la charge de l'Etat. Il n'y a au demeurant pas lieu d'allouer de dépens, le recourant n'obtenant pas gain de cause (art. 55 al. 1 LPA-VD ; cf. art. 61 let. g LPGA).</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