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ZD15.039092 vom 22. November 2016</w:t>
      </w:r>
    </w:p>
    <w:p>
      <w:r>
        <w:t>VD Tribunal cantonal, 2016-11-22, FR</w:t>
      </w:r>
    </w:p>
    <w:p>
      <w:r>
        <w:rPr>
          <w:b/>
        </w:rPr>
        <w:t xml:space="preserve">Quelle: </w:t>
      </w:r>
      <w:r>
        <w:t>https://mcp.opencaselaw.ch/entscheid/vd_gerichte_ZD15.039092</w:t>
      </w:r>
    </w:p>
    <w:p>
      <w:r>
        <w:t>FR: VD_GERICHTE ZD15.039092 du 22 novembre 2016</w:t>
      </w:r>
    </w:p>
    <w:p>
      <w:r>
        <w:t>IT: VD_GERICHTE ZD15.039092 del 22 novembre 2016</w:t>
      </w:r>
    </w:p>
    <w:p>
      <w:pPr>
        <w:pStyle w:val="Heading2"/>
      </w:pPr>
      <w:r>
        <w:t>Erwägungen</w:t>
      </w:r>
    </w:p>
    <w:p>
      <w:r>
        <w:rPr>
          <w:b/>
        </w:rPr>
        <w:t>E. 1</w:t>
      </w:r>
    </w:p>
    <w:p>
      <w:r>
        <w:t>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w:t>
      </w:r>
    </w:p>
    <w:p>
      <w:r>
        <w:rPr>
          <w:b/>
        </w:rPr>
        <w:t>E. 2</w:t>
      </w:r>
    </w:p>
    <w:p>
      <w:r>
        <w:t>Le litige porte sur le droit du recourant à une rente de l’assurance-invalidité.</w:t>
      </w:r>
    </w:p>
    <w:p>
      <w:r>
        <w:rPr>
          <w:b/>
        </w:rPr>
        <w:t>E. 3</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w:t>
      </w:r>
    </w:p>
    <w:p>
      <w:r>
        <w:t>- 9 - longue durée, l'activité qui peut être exigée de lui peut aussi relever d'une autre profession ou d'un autre domaine d'activité.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[Tribunal fédéral]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125 V 351 consid. 3a; TF 9C_168/2007 du 8 janvier 2008 consid. 4.2).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w:t>
      </w:r>
    </w:p>
    <w:p>
      <w:r>
        <w:t>- 10 -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TFA [Tribunal fédéral des assurances]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w:t>
      </w:r>
    </w:p>
    <w:p>
      <w:r>
        <w:rPr>
          <w:b/>
        </w:rPr>
        <w:t>E. 4</w:t>
      </w:r>
    </w:p>
    <w:p>
      <w:r>
        <w:t>a) En l’espèce, l’office intimé s’est fondé sur l’examen clinique bidisciplinaire orthopédique et psychiatrique effectué par le SMR. Or comme l’a mis en évidence le Dr M.________ dans le certificat médical qu’il a établi le 15 décembre 2014, le volet orthopédique de l’examen clinique apparaît particulièrement limité au regard de la problématique présentée par le recourant. Alors que celui-ci se plaint presque exclusivement de lombalgies chroniques qui le limitent de manière conséquente dans sa vie professionnelle et, plus généralement, dans son fonctionnement quotidien, cette problématique ne fait l’objet dans le rapport (qui fait huit pages) que</w:t>
      </w:r>
    </w:p>
    <w:p>
      <w:r>
        <w:t>- 11 - de neuf lignes dans la partie consacrée aux observations cliniques et de trois lignes dans la partie consacrée à l’appréciation du cas. Le volet orthopédique de l’examen clinique passe également sous silence le fait que le recourant a passé l’intégralité de l’entretien en position debout, ce qui aurait dû, eu égard à l’atteinte alléguée, être non seulement mentionné mais également discuté. Une grande partie du rapport du SMR est consacrée à l’examen d’une éventuelle pathologie psychiatrique. Compte tenu de l’existence de plaintes non corrélées par des constatations objectives, on ne saurait reprocher au SMR d’avoir examiné la question du caractère surmontable de la symptomatologie douloureuse. Toutefois, celui-ci a procédé à une analyse schématique, simpliste et peu étayée de la situation, sur la base de critères qui n’ont désormais plus court (cf. infra consid. 5). Pour l’ensemble de ces motifs, il convient de dénier toute valeur probante au rapport du SMR. b) Il n’est pas contestable que le recourant se plaint de lombalgies chroniques dont l’importance n’est pas corrélée à un substrat organique objectivable. Aussi bien les spécialistes des [...] (rapport du 10 septembre 2012) que ceux du [...] (rapport du 9 février 2016) ont mis en évidence un important déconditionnement – tant physique que psychique – et une appréhension de tout mouvement qui pourrait être à l’origine de douleurs (kinésiophobie). Pour leur part, les spécialistes en psychiatrie et en psychothérapie consultés ont évoqué des diagnostics, tels que ceux de somatisation (le Dr E.________ ; rapport du 8 avril 2013) ou de majoration de symptômes physiques pour des raisons psychologiques (le SMR ; rapport du 8 mai 2014). En tout état de cause, le recourant présente une symptomatologie qui peut être assimilée à un syndrome sans pathogenèse ni étiologie claires et sans constat de déficit organique.</w:t>
      </w:r>
    </w:p>
    <w:p>
      <w:r>
        <w:rPr>
          <w:b/>
        </w:rPr>
        <w:t>E. 5</w:t>
      </w:r>
    </w:p>
    <w:p>
      <w:r>
        <w:t>a) Au cours de ces dernières années, la jurisprudence a dégagé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(TF 9C_49/2013 du 2 juillet 2013 consid. 4.1), la fibromyalgie (ATF 132 V</w:t>
      </w:r>
    </w:p>
    <w:p>
      <w:r>
        <w:t>- 12 - 65),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b) Dans un arrêt récent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c) aa) La preuve d’un trouble somatoforme douloureux ou d’une affection psychosomatique assimilée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ou d’une affection psychosomatique assimilée au sens de la classification sont réalisées (consid. 2.2 de l'arrêt cité, TF 8C_562/2014 du 29 septembre 2015 consid. 8.2). Des indices d'une telle exagération apparaissent notamment en cas de discordance entre les douleurs</w:t>
      </w:r>
    </w:p>
    <w:p>
      <w:r>
        <w:t>- 13 -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bb)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w:t>
      </w:r>
    </w:p>
    <w:p>
      <w:r>
        <w:t>- 14 -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w:t>
      </w:r>
    </w:p>
    <w:p>
      <w:r>
        <w:rPr>
          <w:b/>
        </w:rPr>
        <w:t>E. 6</w:t>
      </w:r>
    </w:p>
    <w:p>
      <w:r>
        <w:t>En l’absence d’appréciation médicale exhaustive permettant de se prononcer en connaissance de cause, l’instruction doit être complétée afin que l’éventuel caractère invalidant de l’atteinte à la santé présentée par le recourant puisse être examiné au regard des nouveaux principes applicables en matière de syndrome sans pathogenèse ni étiologie claire et sans constat de déficit organique. Il convient par conséquent de renvoyer la cause à l’office intimé, autorité à qui il incombe en premier lieu d’instruire, conformément au principe inquisitoire qui régit la procédure dans le domaine des assurances sociales (art. 43 al. 1 LPGA), afin qu’il mette en œuvre une expertise bidisciplinaire (rhumatologique et psychiatrique) répondant aux exigences de l’art. 44 LPGA.</w:t>
      </w:r>
    </w:p>
    <w:p>
      <w:r>
        <w:rPr>
          <w:b/>
        </w:rPr>
        <w:t>E. 7</w:t>
      </w:r>
    </w:p>
    <w:p>
      <w:r>
        <w:t>a) Partant, le recours doit être admis, et la décision attaquée annulée, la cause étant renvoyée à l’office intimé pour complément d’instruction dans le sens des considérants et nouvelle décision.</w:t>
      </w:r>
    </w:p>
    <w:p>
      <w:r>
        <w:t>- 15 -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1bis LAI ; art. 49 al. 1 LPA-VD [loi vaudoise du 28 octobre 2008 sur la procédure administrative ; RSV 173.36]). c) Quoi qu’obtenant gain de cause, le recourant n’a pas droit à des dépens, dans la mesure où il n’est pas représenté par un mandataire professionnel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