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ZD15.037035 vom 19. Januar 2017</w:t>
      </w:r>
    </w:p>
    <w:p>
      <w:r>
        <w:t>VD Tribunal cantonal, 2017-01-19, FR</w:t>
      </w:r>
    </w:p>
    <w:p>
      <w:r>
        <w:rPr>
          <w:b/>
        </w:rPr>
        <w:t xml:space="preserve">Quelle: </w:t>
      </w:r>
      <w:r>
        <w:t>https://mcp.opencaselaw.ch/entscheid/vd_gerichte_ZD15.037035</w:t>
      </w:r>
    </w:p>
    <w:p>
      <w:r>
        <w:t>FR: VD_GERICHTE ZD15.037035 du 19 janvier 2017</w:t>
      </w:r>
    </w:p>
    <w:p>
      <w:r>
        <w:t>IT: VD_GERICHTE ZD15.037035 del 19 gennaio 2017</w:t>
      </w:r>
    </w:p>
    <w:p>
      <w:pPr>
        <w:pStyle w:val="Heading2"/>
      </w:pPr>
      <w:r>
        <w:t>Volltext</w:t>
      </w:r>
    </w:p>
    <w:p>
      <w:r>
        <w:t>TRIBUNAL CANTONAL AI 236/15 - 21/2017 ZD15.037035 CO UR DE S ASSURANCES S OCIALES _____________________________________________ Arrêt du 19 janvier 2017 __________________ Composition : M. NEU, président M. Métral et Mme Dessaux, juges Greffière : Mme Monod ***** Cause pendante entre : B.________, à [...], recourante, représentée par Inclusion Handicap, Me Florence Bourqui, à Lausanne et OFFICE DE L'ASSURANCE-INVALIDITÉ POUR LE CANTON DE VAUD, à Vevey, intimé. _______________ Art. 6, 7, 8 et 16 LPGA ; art. 8, 17, 18 et 28 LAI. 402</w:t>
      </w:r>
    </w:p>
    <w:p>
      <w:r>
        <w:t>- 2 - E n f a i t : A. B.________ (ci-après : l’assurée ou la recourante), ressortissante serbe née en 1968, est entrée en Suisse en 1991. Sans formation professionnelle, elle a notamment exercé les activités de vendeuse/caissière au rayon kiosque et fleurs auprès de la société A.________ entre 1996 et 2006, puis de caissière en cafétéria entre 2010 et 2011 après une période de chômage. Elle émargera à l’aide sociale dès mars 2015. B. Par dépôt du formulaire ad hoc auprès de l’Office de l’assurance-invalidité pour le canton de Vaud (ci-après : l’OAI ou l’intimé) en date du 29 novembre 2013, elle a sollicité des prestations de cette assurance, au motif d’arthrite et de psoriasis. Procédant à l’instruction de cette requête, l’OAI a recueilli des renseignements médicaux des médecins traitants de l’assurée, à savoir la Dresse C.________, spécialiste en dermatologie et vénérologie, le Dr F.________, spécialiste en rhumatologie, et le Dr D.________, généraliste. Dans son rapport du 20 décembre 2013, la Dresse C.________ a indiqué le diagnostic de « psoriasis cutané et articulaire » dès juin 2012, précisant que cette atteinte n’entraînait aucune incapacité de travail en l’état. Elle a renvoyé au surplus à l’appréciation de son confrère, le Dr F.________, s’agissant de l’incapacité de travail sur le plan articulaire. Quant au Dr D.________, il a communiqué son rapport le 6 janvier 2014, faisant état des diagnostics de « psoriasis cutané et arthrite psoriasique touchant notamment des métacarpo-phalangiennes avec déformation nodulaire à ce niveau » depuis 2010. Une incapacité de travail de 100% était prononcée pour une durée indéterminée.</w:t>
      </w:r>
    </w:p>
    <w:p>
      <w:r>
        <w:t>- 3 - Le Dr F.________ a pour sa part complété son rapport à l’OAI le 6 mars 2014. Il a mis en évidence les diagnostics de « psoriasis cutané et arthrite psoriasique », ainsi que d’un « état anxio-dépressif », relatant des arthralgies persistantes « atteignant les mains, surtout les pouces, index et médius, ainsi que le poignet gauche et le genou droit ». Le pronostic était défavorable compte tenu des « douleurs ostéoarticulaires diffuses, notamment des doigts, des poignets, des épaules, des genoux, des chevilles et des pieds ». Au titre de restrictions physiques, étaient relevées des difficultés pour maintenir les positions statiques assise et debout, une limitation de la mobilité rachidienne, de la capacité de porter, déplacer et soulever des charges moyennes à lourdes, dans les activités manuelles et de préhension. Sur le plan psychique, l’état anxio-dépressif était susceptible d’altérer la capacité d’adaptation. L’incapacité de travail était totale depuis 2013. Le Dr F.________ remarquait encore qu’une expertise lui apparaissait nécessaire « du fait de la complexité du cas par intrication d’un problème rhumatologique, d’arthrite psoriasique et d’un trouble douloureux somatoforme persistant aggravé par un état anxio-dépressif sous-jacent ». Par complément du 30 octobre 2014, ce même praticien a observé un état de santé stationnaire, voire dégradé, en raison de la persistance d’arthralgie digitale. Il soulignait l’impossibilité pour sa patiente de pratiquer des activités manuelles, de porter, soulever ou déplacer des charges, une diminution de la force et de la résistance, en raison des douleurs ostéoarticulaires multiples. La capacité de travail, même dans une activité adaptée, était « minime, n’excédant pas 20% au mieux » depuis mars 2013. Des mesures de réadaptation professionnelle lui semblaient vouées à l’échec. Sur avis du Service médical régional de l’AI (ci-après : le SMR) du 25 novembre 2014, l’OAI a diligenté un examen clinique rhumatologique et psychiatrique de l’assurée. Ce dernier a été réalisé les 20 février 2015 et 27 mars 2015 par les Drs L.________ et K.________, respectivement</w:t>
      </w:r>
    </w:p>
    <w:p>
      <w:r>
        <w:t>- 4 - spécialiste en médecine physique et réadaptation et spécialiste en psychiatrie et psychothérapie au sein du SMR. Le rapport corrélatif, rédigé le 7 avril 2015, fait état du diagnostic incapacitant d’une « arthrite psoriasique des articulations interphalangiennes distales des doigts (M07.0) », celui de « douleurs chroniques irréductibles (R52) » demeurant sans incidence sur la capacité de travail. Les spécialistes du SMR se sont par ailleurs déterminés comme suit sur le cas de l’assurée : « […] A l’examen clinique, il y a des douleurs palpatoires de la partie cubitale du poignet G [réd. : gauche], de toutes les articulations des doigts aux deux mains, à l’exception de l’interphalangienne proximale de l’annulaire G. Il n’y a pas de signe inflammatoire, pas d’œdème, mais des nodosités de la circonstance osseuse au niveau de l’IPD [réd : articulation interphalangienne distale] des majeurs, et dans une moindre mesure de l’IPD des index. Il y a également un petit nodule à l’IPD de l’auriculaire D [réd. : droit]. L’enroulement des doigts est complet. L’assurée évite d’utiliser la partie distale des doigts lors de l’habillage et le déshabillage. Lors de la manipulation du dossier radiologique et du dossier médical, il n’y a pas d’épargne articulaire. L’utilisation du stylo pour l’écriture s’effectue correctement. Les autres articulations périphériques ne présentent pas de déformation ; leur mobilisation est conservée et indolore. La mobilité rachidienne est également bonne. Il n’y a pas de lombalgie. La marche s’effectue d’un pas rapide, à plat et dans les escaliers, sans boiterie. La position assise est bien tolérée pendant les 55 minutes de l’entretien. De petites plaques cutanées érythémateuses se trouvent aux 2 pieds ; une lésion est un peu plus étendue à la plante du pied D, recouverte de desquamation, évoquant un psoriasis. Les radiographies des mains du 13.09.2012 montrent des érosions et des ostéophytes au niveau de l’IPD de l’index G. A D, il y a un discret pincement articulaire de l’IPD du majeur. L’IRM [réd. : imagerie par résonance magnétique] des mains du 26.03.2014 ne montre pas d’atteinte inflammatoire. Les radiographies des mains du 29.01.2015 montrent une aggravation des érosions et une augmentation de l’ostéophytose de l’interphalangienne distale du majeur G, l’apparition d’érosions et d’ostéophytes de l’IPD du majeur D avec pincement articulaire. Un petit ostéophyte apparaît au niveau de l’IPD de l’index D. L’atteinte des interphalangiennes distales prédominant aux majeurs et, dans une moindre mesure, aux index, évoque une arthrite psoriasique. Sur les clichés, une composante dégénérative n’est pas exclue. Par rapport aux clichés de 2012, l’atteinte articulaire s’est aggravée en 2015. Cette atteinte des articulations interphalangiennes distales (IPD) justifie une décharge articulaire. Concernant les douleurs alléguées par l’assurée au poignet G et aux autres articulations des doigts, il n’y a pas de lésions objectivables sur les clichés radiologiques. Leur évaluation clinique est normale, hormis une discrète nodosité de l’IPD de l’auriculaire D. Il n’y a pas lieu de retenir de limitations fonctionnelles pour ces douleurs articulaires sans substrat organique significatif. En raison du port de charges, de la coupe des fleurs, de la nécessité d’une dextérité dans la composition des bouquets, l’activité de</w:t>
      </w:r>
    </w:p>
    <w:p>
      <w:r>
        <w:t>- 5 - responsable au rayon des fleurs de la A.________ n’est plus exigible. Cette incapacité de travail a débuté au moment où les déformations des doigts se sont accentuées. Cette déformation a été objectivée par la Dresse C.________ lors de sa consultation du 2.10.2013 (cf. rapport du 7.10.2013). Dans une activité avec peu de contraintes mécaniques sur les articulations distales des doigts, il y a lieu de retenir une capacité de travail de 75%. La diminution de 25% de la capacité de travail prend en compte les douleurs de type arthritique des articulations distales des doigts. Les douleurs non-organiques des autres articulations ne justifient pas d’incapacité de travail. […] Notre examen clinique psychiatrique n’a pas montré de dépression majeure, de décompensation psychotique, d’anxiété généralisée, de trouble phobique, de trouble de la personnalité morbide, d’état de stress post-traumatique, de trouble obsessionnel compulsif, de trouble dissociatif, de perturbation de l’environnement psychosocial qui est normal, de syndrome douloureux somatoforme persistant, de majoration de symptômes physiques pour des raisons psychologiques, ni de limitations fonctionnelles psychiatriques à caractère incapacitant. […] Par conséquent, sur le plan psychiatrique, la capacité de travail exigible est de 100%. » Les spécialistes du SMR ont ainsi conclu à une capacité de travail de 75% depuis le 26 mars 2014 dans une activité adaptée aux limitations fonctionnelles des mains, soit « sans travaux de force impliquant notamment des activités de serrage et de desserrage, port de charges répétitif au-delà de 5 kg, activité nécessitant une précision ou une dextérité manuelle ». L’assurée a été reçue à l’OAI par le Service de réinsertion professionnelle en date du 28 mai 2015. Le procès-verbal du même jour mentionne que des activités adaptées et une aide pour y accéder ont été proposées à l’assurée, celle-ci ayant déclaré « ne pas comprendre », « vouloir une rente entière » et argué de la dégradation importante de son état de santé. Le spécialiste de l’OAI a pour sa part relevé que « des mesures professionnelles ne pourraient de toute façon pas réduire le préjudice, mais faciliter l’accès de l’assurée à des emplois adaptés ». Il a ensuite procédé à la détermination du degré d’invalidité de l’assurée, fixant les revenus hypothétiques avec et sans invalidité sur la base de l’Enquête suisse sur la structure des salaires (ESS), édictée par l’Office fédéral de la statistique (OFS). Un degré d’invalidité de 25% était ainsi mis en évidence. Au titre d’activités adaptées, étaient citées celles d’employée aux services généraux, par exemple au courrier interne pour scannage des</w:t>
      </w:r>
    </w:p>
    <w:p>
      <w:r>
        <w:t>- 6 - documents, distribution du courrier à l’interne, tri et classement, de nettoyages légers dans les bureaux et de téléphoniste. Par projet de décision du 1er juin 2015, l’OAI a informé l’assurée de son intention de lui nier le droit à un reclassement professionnel ou une rente d’invalidité, vu le préjudice économique limité à 25% en l’espèce. Des mesures de réadaptation étaient sans objet vu le refus de l’assurée d’en bénéficier. Celle-ci s’est adressée à l’OAI par pli du 23 juin 2015 pour solliciter un tirage de son dossier, ainsi qu’un délai supplémentaire pour présenter ses objections à l’encontre du projet de décision précité. L’OAI a rendu sa décision le 14 juillet 2015, de teneur identique au projet de décision du 1er juin 2015. C. L’assurée, représentée par Inclusion Handicap, Me Florence Bourqui, a déféré la décision du 14 juillet 2015 à la Cour des assurances sociales du Tribunal cantonal par mémoire de recours du 31 août 2015. Elle a conclu à son annulation sous suite de renvoi de la cause à l’OAI pour instruction complémentaire sur les activités professionnelles à sa portée, notamment au moyen de l’octroi d’une mesure d’orientation professionnelle, avant nouvelle décision sur son droit à la rente. Elle a soutenu pour l’essentiel que les activités proposées par l’OAI ne pouvaient être exercées au regard des restrictions fonctionnelles observées en lien avec la dextérité des doigts et les possibilités de serrage. Par ailleurs, les postes mis en évidence étaient trop peu nombreux sur le marché du travail, ce qui justifiait à son sens un abattement de 25% sur le salaire statistique fixé en tant que revenu d’invalide. En outre, les mesures appropriées à son statut de travailleuse manuelle devaient être examinées, l’OAI ayant statué trop rapidement sur son cas, alors qu’un stage d’observation ou d’orientation professionnelle s’imposait. L’OAI a produit sa réponse au recours le 16 octobre 2015, en proposant le rejet. Il a fait valoir que nombre de postes adaptés à l’état de</w:t>
      </w:r>
    </w:p>
    <w:p>
      <w:r>
        <w:t>- 7 - santé de l’assurée lui étaient accessibles sans formation spécifique, par exemple dans le domaine de la surveillance, de la vérification ou du contrôle. Il a par ailleurs rappelé qu’il convenait de se référer à la notion de « marché du travail équilibré », théorique et abstraite. Un abattement de 25% sur le revenu d’invalide ne se justifiait enfin aucunement, la problématique somatique de l’assurée ayant été prise en compte dans l’appréciation de sa capacité de travail. Les parties ont maintenu leurs conclusions respectives à l’occasion d’un échange d’écritures subséquent, en date des 3 novembre 2015 et 23 novembre 2015. L’assurée a indiqué ne pas avoir de remarques supplémentaires à formuler le 4 décembre 2015, de sorte que la cause a été gardée à juger. Dans l’intervalle, le 22 novembre 2016, l’OAI a adressé à la Cour de céans des copies de nouveaux rapports médicaux, établis le 22 août 2016 par le Dr S.________, spécialiste en neurologie, et le 25 octobre 2016 par la Dresse P.________, spécialiste en médecine interne et rhumatologie. Ces derniers ont objectivé, en sus du rhumatisme inflammatoire affectant l’assurée, une neuropathie compressive aux deux poignets, prédominant à gauche, susceptible d’être traitée chirurgicalement et à l’origine de nouvelles limitations fonctionnelles.</w:t>
      </w:r>
    </w:p>
    <w:p>
      <w:r>
        <w:t>- 8 - E n d r o i t : 1. a) Les dispositions de la LPGA (loi fédérale du 6 octobre 2000 sur la partie générale du droit des assurances sociales, RS 830.1) s’appliquent à l’AI (art.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Elle prévoit la compétence de a Cour des assurances sociales du Tribunal cantonal pour statuer (art. 93 let. a LPA- VD). c) En l'espèce, le recours a été interjeté en temps utile, compte tenu des féries judiciaires estivales (cf. art. 38 al. 4, let. b, LPGA, sur renvoi de l’art. 60 al. 2 LPGA), auprès du tribunal compétent ; respectant pour le surplus les conditions de forme prévues par la loi (art. 61 let. b LPGA notamment), 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w:t>
      </w:r>
    </w:p>
    <w:p>
      <w:r>
        <w:t>- 9 -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l'occurrence, vu la teneur de la décision contestée, le litige porte sur le droit de la recourante à des mesures d’ordre professionnel et à une rente d'invalidité. Singulièrement, celle-ci requiert l'organisation d'une orientation professionnelle, doutant de l'adéquation des activités proposées par l'intimé en qualité d'activités adaptées. Elle estime par ailleurs que la décision de refus de reclassement et de rente de l'intimé était prématurée s'agissant de l'évaluation de son invalidité, en l'absence de mise en œuvre de mesures professionnelles. 3. a) Aux termes de l’art. 8 al. 1 LPGA, est réputée invalidité l’incapacité de gain totale ou partielle qui est présumée permanente ou de longue durée. L’invalidité peut résulter d’une infirmité congénitale, d’une</w:t>
      </w:r>
    </w:p>
    <w:p>
      <w:r>
        <w:t>- 10 -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w:t>
      </w:r>
    </w:p>
    <w:p>
      <w:r>
        <w:t>- 11 -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4.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[Tribunal fédéral]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- 12 - expertise, mais bel et bien son contenu (ATF 125 V 351 consid 3a et les arrêts cités ; 134 V 231 consid. 5.1 ; TF 9C_1023/2008 du 30 juin 2009 consid. 2.1.1). Bien que les rapports d'examen réalisés par un SMR en vertu de l'art. 49 al. 2 RAI (règlement du 17 janvier 1961 sur l'assurance- 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 9C_745/2010 du 30 mars 2011 consid. 3.3 et 9C_204/2009 du 6 juillet 2009 consid. 3.3.2 et les références ; consid. 3.3.2 non publié de l'ATF 135 V 254). Il convient cependant d'ordonner une expertise si des doutes, mêmes faibles, subsistent quant à la fiabilité et à la pertinence des constatations effectuées par le service médical interne de l'assurance (ATF 135 V 465 consid. 4.6 ; TF 9C_500/2011 précité loc. cit. ; TF 9C_28/2011 précité loc. cit. et 9C_745/2010 précité loc. cit.).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 TF 8C_862/2008 du 19 août 2009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w:t>
      </w:r>
    </w:p>
    <w:p>
      <w:r>
        <w:t>- 13 - c) On ne voit en l’occurrence aucune raison de s’écarter des conclusions circonstanciées des Drs L.________ et K.________, étant souligné que le rapport d'examen du SMR du 7 avril 2015 remplit les réquisits jurisprudentiels pour se voir accorder pleine valeur probante. Ce rapport est en effet le fruit d’une analyse approfondie du cas, en ce qu’il fait état des plaintes exprimées par la recourante, comporte une anamnèse détaillée et décrit le contexte déterminant. Reposant sur des investigations complètes, ce rapport contient une appréciation claire de la situation, une discussion très étayée des diagnostics retenus après confrontation des éléments relatés par les médecins traitants de la recourante. Ce document aboutit à des conclusions médicales minutieusement motivées et exemptes de contradictions. Il convient en conséquence de s'y rallier, ce que la recourante ne remet d'ailleurs pas en question, puisqu'elle ne fait valoir aucun grief spécifique sur l'appréciation médicale de son cas à la date de la décision entreprise. Quant aux pièces médicales produites au stade de la procédure judiciaire, à savoir les rapports des Drs S.________ et P.________, ces derniers documentent une péjoration de l'état de santé de la recourante qui serait survenue en 2016, soit postérieurement à la décision attaquée. Ils ne sauraient dès lors être pris en compte pour la résolution du présent litige, étant rappelé que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Dans la mesure où la présente cause devra être renvoyée à l'intimé pour d'autres motifs (cf. consid. 8 infra), il appartiendra à ce dernier de déterminer si la péjoration de l'état de santé annoncée par l'assurée justifie des restrictions supplémentaires à sa capacité de travail dans une activité adaptée. A la date de la décision litigieuse, il s'agit cependant de confirmer que la recourante était dotée d'une capacité de travail de 75% dans une activité respectant les limitations énoncées par les spécialistes du SMR.</w:t>
      </w:r>
    </w:p>
    <w:p>
      <w:r>
        <w:t>- 14 - 5.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w:t>
      </w:r>
    </w:p>
    <w:p>
      <w:r>
        <w:t>- 15 - exigible d'une activité, sont susceptibles d'influencer l'étendue de l'invalidité, même s'ils rendent parfois difficile, voire impossible la recherche d'une place et, partant, l'utilisation de la capacité de travail résiduelle (TF 9C_446/2008 du 18 septembre 2008 ; 9C_236/2008 du 4 août 2008 et I 175/04 du 28 janvier 2005 consid. 3 ;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(cf. ATF 129 V 222 consid. 4.3.1). A défaut, il est possible de se rapporter aux données statistiques résultant de l’ESS (TF 9C_900/2009 du 27 avril 2010 consid. 3.2 ; VSI 1999 p. 246). c)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w:t>
      </w:r>
    </w:p>
    <w:p>
      <w:r>
        <w:t>- 16 - données statistiques résultant de l’ESS (ATF 129 V 472 consid. 4.2.1 ; 126 V 76 consid. 3a/bb ; 124 V 323 consid. 3b/bb ; TF 9C_900/2009 du 27 avril 2010 consid. 3.3). Cas échéant, on se réfère à la statistique des salaires bruts standardisés, en se fondant toujours sur la médiane ou valeur centrale (ATF 124 V 323 consid. 3b/bb ; TF I 7/2006 du 12 janvier 2007 consid. 5.2 ; Pratique VSI 1999 p. 182). En outre, il se justifie d’examiner l’opportunité d’une déduction supplémentaire sur le revenu statistique.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w:t>
      </w:r>
    </w:p>
    <w:p>
      <w:r>
        <w:t>- 17 -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d) En l'occurrence, on peut raisonnablement attendre de la recourante la mise à profit d'une capacité de travail de 75% dans une activité strictement adaptée à ses limitations fonctionnelles, possibilité dont elle dispose théoriquement sur un marché du travail équilibré ; elle y est d'ailleurs tenue en vertu de son obligation de diminuer le dommage (cf. TFA [Tribunal fédéral des assurances] I 383/06 du 5 avril 2005 consid. 4.4). S'agissant du revenu hypothétique sans invalidité, on peut, à l'instar de l'intimé, se référer à l'ESS dans la mesure où la recourante, dénuée de toute formation professionnelle, a exercé des activités de divers secteurs professionnels depuis son arrivée en Suisse et est sans emploi depuis plusieurs années. Le salaire de référence est celui auquel peuvent prétendre les femmes effectuant des activités simples et répétitives dans le secteur privé (production et services) en 2014, soit 4'300 fr. par mois, part au 13ème salaire comprise (ESS 2014, TA1, niveau de qualification minimal 1). Comme les salaires bruts standardisés tiennent compte d’un horaire de travail de quarante heures, soit une durée hebdomadaire inférieure à la moyenne usuelle dans les entreprises en 2014 (41,7 heures ; cf. OFS / Durée normale du travail dans les entreprises), le revenu mensuel doit être majoré à 4'443 fr., équivalant à un salaire annuel de 53'793 francs. Le même montant peut servir de base à la détermination du revenu d'invalide dans la mesure où la recourante n'a repris aucune activité lucrative en dépit de l'exigibilité médicale. Cela étant, compte</w:t>
      </w:r>
    </w:p>
    <w:p>
      <w:r>
        <w:t>- 18 - tenu d'une capacité de travail de 75%, le revenu annuel de 53'793 fr. doit être réduit à 40'345 francs. Contrairement à ce qu'a estimé l'OAI dans son calcul du 28 mai 2015, un abattement se justifie in casu, non pas pour tenir compte des limitations fonctionnelles de l'assurée, mais plutôt de ses circonstances personnelles, soit de l'absence de formation professionnelle, de difficultés linguistiques, ainsi qu'en raison du taux d'activité réduit imposé par son état de santé. Un abattement limité à 10% apparaît adéquat pour tenir compte de la situation globale de la recourante. Déduction faite, le revenu annuel d’invalide déterminant se monte en définitive à 36'310 fr., réalisable par l'assurée indépendamment de toute formation professionnelle. e) Sur la base des revenus hypothétiques ci-dessus, le degré d'invalidité s'élève en définitive au maximum à 32,5% ([53'793 fr. – 36'310 fr.] x 100 / 53'793 fr.). Vu le taux d'invalidité présenté par la recourante, nettement inférieur au seuil de 40% ouvrant le droit à une rente, c'est à juste titre que l'OAI a nié le droit à cette prestation à l'issue de sa décision du 14 juillet 2015. Le recours doit en conséquence être rejeté et la décision querellée confirmée, eu égard à la question du droit à la rente de l'assurée. Cela étant, un tel taux d'invalidité ouvrant le droit théorique à une mesure de reclassement professionnel, il s'agit de déterminer si la recourante peut prétendre des mesures professionnelles. 6. a) L'art. 8 al. 1 LAI pose le principe de l'octroi de mesures de réadaptation en faveur des assurés invalides ou menacés d'une invalidité au sens de l’art. 8 LPGA pour autant, d’une part, que celles-ci soient nécessaires et de nature à rétablir, maintenir ou améliorer leur capacité</w:t>
      </w:r>
    </w:p>
    <w:p>
      <w:r>
        <w:t>- 19 - de gain (let. a) et, d’autre part, que les conditions d’octroi des différentes mesures soient remplies (let. b). A teneur de l’art. 8 al. 3, let. b, LAI, les mesures de réadaptation comprennent notamment les mesures d'ordre professionnel au sens des art. 15 à 18d LAI (orientation professionnelle, formation professionnelle initiale, reclassement, placement, aide en capital). Le droit à une mesure de réadaptation déterminée de l'assurance-invalidité présuppose qu'elle soit appropriée au but de réadaptation poursuivi par l'assurance,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à la réadaptation de l'assuré fait défaut, l'administration peut refuser de mettre en œuvre une mesure ou y mettre fin (TF I_552/06 du 13 juin 2007 consid. 3.2 ; TFA I_370/98 du 26 août 1999, publié in : VSI 2002 p. 111). b) Aux termes de l’art. 15 LAI, l’assuré auquel son invalidité rend difficile le choix d’une profession ou l’exercice de son activité antérieure a droit à l’orientation professionnelle.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(TFA I 552/86 du 27 novembre 1987 consid. 4a, in : RCC 1988 p. 191).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w:t>
      </w:r>
    </w:p>
    <w:p>
      <w:r>
        <w:t>- 20 -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 130 V 488 consid. 4.2 ; TF 9C_349/2013 du 27 septembre 2013 consid. 3.1). d) Enfin, aux termes de l'art. 18 al. 1 LAI,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7. a)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w:t>
      </w:r>
    </w:p>
    <w:p>
      <w:r>
        <w:t>- 21 - mesure de réadaptation (TF I_552/06 du 13 juin 2007 consid. 4.1 ; TFA I_605/04 du 11 janvier 2005 consid. 2 et les références, publié in : SVR 2005 IV n° 30 p. 113). Ainsi, le droit à des mesures de reclassement (et à d'autres mesures de réadaptation professionnelle entrant en considération concrètement) pour cause d'invalidité ne peut être refusé en raison du manque de faculté subjective de reclassement que dans la mesure où la procédure de mise en demeure prescrite à l'art. 21 al. 4 LPGA a été observée (TF 9C_100/2008 du 4 février 2009 consid. 3.2 ; I 552/06 du 13 juin 2007 consid. 4). b) Par ailleurs, à teneur de l’art. 27 al. 1 LPGA, dans les limites de leur domaine de compétence, les assureurs et les organes d’exécution des diverses assurances sociales sont tenus de renseigner les personnes intéressées sur leurs droits et obligations. S’agissant du droit à être conseillé par ces mêmes organes, ceci en application de l’art. 27 al. 2 LPGA, la jurisprudence considère que l’obligation de renseigner à titre individuel comprend notamment l’obligation d’attirer l’attention de l’intéressé sur le fait que son comportement pourrait mettre en péril la réalisation de l’une des conditions du droit aux prestations. Elle est donnée lors de demandes concrètes des administrés auprès de l’autorité compétente. A l’inverse, aucun devoir de renseignement n’incombe à l’assureur tant qu’il ne peut pas, en prêtant l’attention usuelle, reconnaître que la personne assurée se trouve dans une situation dans laquelle elle risque de perdre son droit aux prestations (ATF 131 V 472 consid. 4 ; 133 V 249). 8. Dans le cas d’espèce, ainsi que l'a retenu l'intimé, la recourante rencontre une incapacité totale de travail dans la dernière activité professionnelle réalisée. Elle présente par ailleurs un degré d'invalidité de 32% en cas de reprise d'une activité simple et répétitive, sans formation professionnelle préalable. Ce taux permet théoriquement l'octroi de mesures professionnelles, singulièrement d'un reclassement, pour autant que les autres conditions de ce droit soient remplies. Le but de telles mesures serait de permettre à l'assurée de diminuer son</w:t>
      </w:r>
    </w:p>
    <w:p>
      <w:r>
        <w:t>- 22 - dommage autant que possible par le biais d'une formation simple et adéquate. L'intimé a renoncé à des mesures professionnelles après que l'assurée eut exprimé son point de vue selon lequel elle ne pouvait rien faire et souhaitait l'octroi d'une rente entière. Le rapport final du Service de réinsertion professionnelle de l'OAI du 29 mai 2015 précise que, de toute façon, aucune mesure n'entrerait en considération pour réduire le préjudice économique de l'assurée. Il s'agit toutefois d'une simple affirmation, sans autre forme de motivation. Or, les mesures d'ordre professionnel que sont l'orientation professionnelle et l'aide au placement contribuent à réduire le préjudice en facilitant aux assurés le choix d'une profession et la recherche d'un emploi adapté, lorsqu'en raison de leur handicap, ils éprouvent des difficultés importantes pour retrouver une activité adaptée, y compris sans formation complémentaire. Ces mesures n'impliquent au demeurant pas nécessairement qu'une mesure de reclassement au sens de l'art. 17 LAI soit ouverte. En l'occurrence, on peut admettre que la recourante éprouve du fait de ses atteintes à la santé, des difficultés à définir une activité adaptée dans laquelle elle pourrait réduire autant que possible son préjudice et à retrouver concrètement un emploi dans une telle activité. L'OAI ne pouvait donc d'emblée nier le droit à des mesures d'ordre professionnel. L'inaptitude subjective de la recourante, exprimée lors de l'entretien du 28 mai 2015, imposait la mise en œuvre d'une procédure de sommation au sens de l'art. 21 al. 4 LPGA avant d'envisager de nier son droit à des mesures professionnelles. Le point de savoir si ces mesures sont encore envisageables en dépit de la péjoration de l'état de santé alléguée par l'assurée, qui serait survenue postérieurement à la décision litigieuse, n'a pas à être tranché dans la présente procédure. Il appartiendra à l'intimé de compléter l'instruction à cet égard, avant de statuer à nouveau sur le droit aux mesures d'ordre professionnel de la recourante au regard des</w:t>
      </w:r>
    </w:p>
    <w:p>
      <w:r>
        <w:t>- 23 - nouvelles constatations d'ordre médical, à l'issue d'une procédure de mise en demeure de la recourante. En définitive, s'agissant du droit aux mesures d'ordre professionnel, le recours doit être admis et la cause renvoyée à l'OAI pour plus ample examen avant nouvelle décision sur cette question. 9. Il résulte de ce qui précède que le recours doit être partiellement admis, soit uniquement sur la question du droit à des mesures d'ordre professionnel, et la cause renvoyée à l'intimé pour qu'il procède conformément aux considérants ci-avant.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pour l'essentiel. b) Obtenant partiellement gain de cause, la recourante a droit à une indemnité de dépens réduite pour ses frais de représentation, à charge de l'intimé (art. 55 al. 1 LPA-VD; art. 61 let. g LPGA). Il convient in casu de fixer cette indemnité à 1'000 francs. Par ces motifs, la Cour des assurances sociales p r o n o n c e : I. Le recours est rejeté s'agissant du droit à la rente. II. Le recours est admis s'agissant du droit à des mesures professionnelles, la décision rendue le 14 juillet 2015 par l’Office de l’assurance-invalidité pour le canton de Vaud étant</w:t>
      </w:r>
    </w:p>
    <w:p>
      <w:r>
        <w:t>- 24 - annulée sur cette question et la cause lui étant renvoyée pour qu'il procède dans le sens des considérants. III. Les frais judiciaires, arrêtés à 400 fr. (quatre cents francs), sont mis à la charge de la l’Office de l’assurance-invalidité pour le canton de Vaud. IV. L’Office de l’assurance-invalidité pour le canton de Vaud versera à la recourante une indemnité de 1’000 fr. (mille cents francs) à titre de dépens. Le président : La greffière : Du L'arrêt qui précède, dont la rédaction a été approuvée à huis clos, est notifié, par l'envoi de photocopies, à : - Inclusion Handicap, Me Florence Bourqui,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