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ZD15.036590 vom 19. Januar 2017</w:t>
      </w:r>
    </w:p>
    <w:p>
      <w:r>
        <w:t>VD Tribunal cantonal, 2017-01-19, FR</w:t>
      </w:r>
    </w:p>
    <w:p>
      <w:r>
        <w:rPr>
          <w:b/>
        </w:rPr>
        <w:t xml:space="preserve">Quelle: </w:t>
      </w:r>
      <w:r>
        <w:t>https://mcp.opencaselaw.ch/entscheid/vd_gerichte_ZD15.036590</w:t>
      </w:r>
    </w:p>
    <w:p>
      <w:r>
        <w:t>FR: VD_GERICHTE ZD15.036590 du 19 janvier 2017</w:t>
      </w:r>
    </w:p>
    <w:p>
      <w:r>
        <w:t>IT: VD_GERICHTE ZD15.036590 del 19 gennaio 2017</w:t>
      </w:r>
    </w:p>
    <w:p>
      <w:pPr>
        <w:pStyle w:val="Heading2"/>
      </w:pPr>
      <w:r>
        <w:t>Erwägungen</w:t>
      </w:r>
    </w:p>
    <w:p>
      <w:r>
        <w:rPr>
          <w:b/>
        </w:rPr>
        <w:t>E. 50</w:t>
      </w:r>
    </w:p>
    <w:p>
      <w:r>
        <w:t>% dans une activité adaptée à l'état de santé de l'assurée, a été soumis aux médecins du SMR qui, dans un avis du 5 février 2015, ont indiqué que les affirmations du médecin traitant ne permettaient pas d’arriver à une solution différente de celle exprimée auparavant. Par décision du 21 juillet 2015, l’OAI a refusé l’octroi d’une rente d’invalidité, le degré d’invalidité déterminé étant de 26.51 %. Il a retenu une capacité de travail totale dans une activité adaptée tenant compte des limitations suivantes : port de charges, déplacements fréquents, marche en terrain irrégulier, montée ou descente d’escaliers, position statique de la nuque, station debout prolongée. L’OAI a considéré que la part consacrée à son activité lucrative serait de 60 % et celle</w:t>
      </w:r>
    </w:p>
    <w:p>
      <w:r>
        <w:t>- 16 - consacrée aux tâches ménagères de 40 %. Le revenu sans invalidité en 2012 était de 40'759 fr. 85 et le revenu d’invalide de 27'778 fr. 20. Compte tenu de l’activité professionnelle et ménagère, le degré d’invalidité était ainsi de 26.51 %. B. Par acte du 27 août 2015, V.________, assistée de son conseil, recourt contre cette décision. Contestant disposer d’une capacité de travail résiduelle de 100 % dans une activité adaptée, elle fait grief à l’intimé de s’être fondé sur un examen orthopédique réalisé au SMR en 2010 et sur une expertise du Dr G.________ de 2014 mise en œuvre par l’assurance-accidents. Elle considère disposer au mieux d’une capacité de travail résiduelle de 50 %, dans une activité adaptée à son état de santé. S’agissant du calcul de l’invalidité, elle conteste le montant du revenu sans invalidité, soutenant qu’il s’élève à 42'898 fr. 90, le fait que son revenu d’invalide ait été pris en considération à 60 % alors que seul un revenu à 50 % était réalisable (20'576 fr. 44), de même que l’abattement de 10 %, alléguant qu’il ne tient pas suffisamment compte de son âge, de son manque d’expérience professionnelle, de sa faible formation scolaire, de son absence prolongée sur le marché du travail et de sa capacité de travail réduite. Enfin, considérant que son handicap dans la tenue de son ménage s’élève à 45.50 %, elle admet une invalidité ménagère de 18.20 %, soit une invalidité globale de 70.24 % donnant droit à une rente entière. Elle produit en outre un rapport d’IRM du genou droit établi le 13 juin 2014 par la Dresse T.________, spécialiste en radiologie, de même qu’un rapport médical du Dr B.________ du 27 août 2014. Dans sa réponse du 15 octobre 2015, l’OAI propose le rejet du recours. Il explique que les limitations fonctionnelles retenues pour l’exercice d’une activité adaptée permettent également au rachis de ne pas être trop sollicité. De même, le fait que le rapport médical du SMR ne mentionne pas clairement le diagnostic d’algodystrophie n’est pas absolument relevant, les limitations fonctionnelles étant en tous points identiques. L’intimé relève en outre que le Dr U.________ ne s’est pas prononcé sur la capacité de travail résiduelle, se contentant de renvoyer à une observation professionnelle, et que l’abattement retenu de 10 % n’est</w:t>
      </w:r>
    </w:p>
    <w:p>
      <w:r>
        <w:t>- 17 - pas discutable, compte tenu de la pleine aptitude au travail déterminée sur la base de mesures de réadaptation démontrant que la recourante disposait des réquisits dans les domaines de la réception-accueil et de l'aide de bureau. Un avis médical du 6 octobre 2015 du Dr C.________, médecin au SMR, est joint à cette réponse. La jonction des causes AA 55/15 et AI 232/15 requise par la recourante est refusée par ordonnance de la juge instructrice du 19 novembre 2015, tout en précisant que le dossier de l’assurance-invalidité est versé au dossier concernant l’assurance-accidents. Le 17 mars 2016, la recourante produit un rapport médical de son médecin du 16 mars 2016, sur lequel elle fonde sa réplique. Selon le Dr B.________, son appréciation antérieure de la capacité de travail (50 à 80 %) de sa patiente devait être corrigée, en ce sens que cette capacité de travail n’était plus que de 20 % à partir du 1er janvier 2011, étant nulle jusqu’à cette date, en raison de l’évolution des stages effectués et de l’absentéisme prévisible. La recourante fait encore état de la contradiction entre ce rapport médical et l’avis du SMR de 2010 indiquant que sa capacité de travail était entière dans toute activité adaptée, trois mois après son accident. Constatant que le Dr B.________ ne se prononce pas sur la question du handicap ménager, la recourante requiert un complément d’instruction sur cet aspect également. Dans sa duplique du 19 avril 2016, l’intimé confirme ses conclusions en rejet du recours. S'agissant du dernier rapport médical du Dr B.________, il s’étonne de son évaluation, considérant qu’elle traduirait une aggravation majeure en regard de l’expertise orthopédique de 2014 du Dr G.________, alors que cette dernière, corroborant l’examen du SMR de 2010, fait plutôt état d’une grande stabilité. De plus, les dernières radiographies des membres inférieurs datant de 2014 ne plaident pas en faveur d’une aggravation. L’intimé produit en outre un avis médical du Dr C.________ du 13 avril 2016 suggérant la mise en place d’une expertise rhumatologique ou orthopédique en raison de la conflictualité du dossier et de l’absence d’éléments pertinents. L’intimé indique clairement se</w:t>
      </w:r>
    </w:p>
    <w:p>
      <w:r>
        <w:t>- 18 - distancer de l’avis du SMR, considérant que ces éléments ne justifiaient pas la mise en œuvre d’un tel examen. La recourante informe le tribunal le 19 mai 2016 qu’elle n’entend pas s’opposer à la mise sur pied d’une expertise, tout en constatant que dans son avis, le Dr C.________ se contentait de répéter ce qu’il avait déjà évoqué sans mettre à mal le rapport du 16 mars 2016 du médecin traitant. Par ordonnance du 6 décembre 2016, la juge instructrice informe les parties qu’au vu d’une appréciation anticipée des preuves, une expertise n’apparaissait pas nécessaire et qu’un arrêt serait rendu prochainement. Par courrier du 12 décembre 2016, la recourante requiert que les frais de 1'783 fr. 95 relatifs à l’établissement du rapport médical du 16 mars 2016 du Dr B.________ soient mis à charge de l'intimé. E n d r o i t : 1. a) Les dispositions de la loi fédérale du 6 octobre 2000 sur la partie générale du droit des assurances sociales (LPGA ; RS 830.1) s’appliquent à l’AI, sous réserve de dérogations expresses (cf. art. 1 LAI [loi fédérale du 19 juin 1959 sur l'assurance-invalidité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Conformément à l’art. 38 al. 4 let. b LPGA, les délais fixés en jours ou en mois par la loi ne courent pas du 15 juillet au 15 août inclusivement.</w:t>
      </w:r>
    </w:p>
    <w:p>
      <w:r>
        <w:t>- 19 - En l'espèce, formé en temps utile selon les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Le recours porte en l’occurrence sur le droit de la recourante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w:t>
      </w:r>
    </w:p>
    <w:p>
      <w:r>
        <w:t>- 20 -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demi-rente, un taux de 60 % à trois quarts de rente et un taux de 70 % à une rente entière (art. 28 LAI).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[règlement du 17 janvier 1961 sur l'assurance-invalidité ; RS 831.201]).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w:t>
      </w:r>
    </w:p>
    <w:p>
      <w:r>
        <w:t>- 21 - dans les deux activités en question. C’est la méthode mixte d’évaluation de l’invalidité (art. 28a al. 3 LAI en corrélation avec l’art. 27bis RAI).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(ATF 133 V 504 consid. 3.3, 125 V 146 consid. 2c, 117 V 194 consid. 3b). 4.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w:t>
      </w:r>
    </w:p>
    <w:p>
      <w:r>
        <w:t>- 22 -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8C_15/2009 du 11 janvier 2010 consid. 3.2). c) Enfin, il appartient avant tout aux médecins, et non aux spécialistes de l’orientation professionnelle, de se prononcer sur la capacité de travail d’un assuré souffrant d’une atteinte à la santé et sur les éventuelles limitations résultant de celles-ci. Les données médicales permettent généralement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Les informations recueillies par les organes d’observation professionnelle ont cependant pour fonction de compléter les données médicales en examinant concrètement la mesure dans laquelle l’assuré est à même de mettre en valeur une capacité de travail</w:t>
      </w:r>
    </w:p>
    <w:p>
      <w:r>
        <w:t>- 23 - et de gain sur le marché du travail (TF 9C_512/2013 du 16 janvier 2014 consid. 5.2.1, 9C_83/2013 et 9C_104/2013 du 9 juillet 2013 consid. 4.2). 5. a) En l’espèce, la recourante fait grief à l’intimé de s’être fondé, pour évaluer sa capacité de travail, sur un rapport du 12 juillet 2010 du SMR à ses yeux obsolète et sur une expertise du Dr G.________, mise en œuvre par l’assureur-accidents en 2014. Elle relève que cette expertise n’évoque pas la problématique du rachis, qu’elle considère pourtant comme invalidante. Elle produit en cours de procédure un rapport de son médecin traitant du 16 mars 2016, aux termes duquel il modifie l’évaluation qu’il fait de la capacité de travail de sa patiente, la faisant passer de 50 % à 20 % dans une activité adaptée, en raison de l’évolution de l’état de santé de cette dernière, des stages effectués et de l’absentéisme prévisible. S’agissant de l’aspect médical, c’est essentiellement sur la question de la capacité de travail dans une activité adaptée que porte le litige. En effet, tant la capacité de travail dans l’activité habituelle que les limitations fonctionnelles ne sont pas litigieuses. Ainsi, les médecins considèrent la première comme inexistante et font une appréciation globale, concordante des limitations relatives à la marche prolongée, la marche en terrain irrégulier, la montée ou la descente d’escaliers, d’échelles ou d'échafaudages, les travaux accroupis ou à genoux, la nécessité d’alterner les positions, le port de charges, les positions prolongées en flexion, arc- bouté ou en porte-à-faux. En revanche, l’évaluation diagnostique n’a pas fait l’unanimité s’agissant du membre inférieur droit, en particulier, le corps médical n’a pas toujours été d’accord sur l’existence d’un syndrome régional douloureux complexe (maladie de Sudeck ou algodystrophie). Cependant, une expertise judiciaire, mise sur pied en octobre 2011 auprès du Dr U.________, qualifiée de probante par la Cour (cf. arrêt AA 34/10 – 46/2012 du 30 mai 2012), avait permis d’établir l’existence d’un tel syndrome. Ce diagnostic avait au demeurant été précédemment posé par les Drs Y.________ en 2008, Q.________ en 2009, B.________ en 2011 et confirmé</w:t>
      </w:r>
    </w:p>
    <w:p>
      <w:r>
        <w:t>- 24 - ultérieurement en 2014 par le Dr G.________ sous forme de status post- syndrome régional douloureux complexe du membre inférieur droit. Il n’y a en conséquence pas lieu d’y revenir. S’agissant des troubles du rachis, il ressort des différents rapports au dossier que leur origine est dégénérative et préexistante à l’accident de mars 2008, ce que confirment les documents radiologiques énumérés par le Dr B.________ dans son rapport médical du 16 mars 2016 (pp. 8 et 9). A l’instar de la recourante, il faut admettre que le rapport du Dr G.________ du 23 janvier 2014 porte essentiellement sur la problématique de la cheville droite et ne se penche pas précisément sur celle des troubles vertébraux, si ce n’est pour constater leur absence de lien avec l’accident, comme l’avait déjà fait le Dr R.________ le 27 novembre 2008. Dans ces circonstances, l’évaluation d’une capacité totale de travail de la recourante dans une activité adaptée, qui ne tient pas compte de son état de santé global, ne saurait être pris en considération sans réserve. Le rapport du Dr M.________ du 12 juillet 2010 qui fait état des constatations tant au niveau du membre inférieur droit qu’au niveau du rachis a porté sur l’état de santé global de la recourante. Cependant, malgré le fait que les derniers rapports d’IRM cervicale et lombaire soient plutôt rassurants en ce sens qu’aucun changement significatif ne semble s’être produit depuis les IRM de 2005 et de 2009 (cf. rapport médical du Dr B.________ du 16 mars 2016 p. 9), le délai de cinq ans qui s’est écoulé entre cet examen et la décision attaquée est suffisamment long pour considérer que ce rapport ne permet pas à lui seul de conclure sans réserve à une capacité de travail de 100 % dans une activité adaptée. Enfin, compte tenu de la relative importance des troubles du rachis, on peut se demander si le Dr M.________, spécialiste en chirurgie orthopédique et traumatologie, ne devait pas s’adjoindre les services d’un rhumatologue pour une évaluation précise des conséquences de ces troubles.</w:t>
      </w:r>
    </w:p>
    <w:p>
      <w:r>
        <w:t>- 25 - A cela s’ajoute que les appréciations de la capacité de travail résiduelle par les autres médecins sont contradictoires et ne permettent pas de se faire une idée fondée de la situation. Ainsi, les médecins qui se sont exprimés dans le dossier de l’assureur-accidents ont tous, excepté le Dr R.________, dont le rapport est le moins récent, admis une pleine et entière capacité de travail des suites de l’accident dans une activité adaptée au plus tard neuf semaines après l’événement. Les autres médecins qui se sont prononcés sur l’état de santé globale de la recourante, qu’ils soient expert, médecins traitants ou médecin conseil, ont attesté d’une capacité de travail variant entre 100 % et 20 %. En effet, dans son rapport d'expertise du 12 juillet 2010, le Dr M.________ a fait état d'une capacité de travail de 100 % dans une activité adaptée. Dans son rapport médical du 3 octobre 2009, le Dr Q.________ a quant à lui évoqué la possibilité de reprendre une activité respectant les limitations fonctionnelles à raison de 3-4 heures par jour. La Dresse N.________, médecin conseil auprès du Service de l'emploi a conclu, dans son rapport du 23 janvier 2012, à une capacité de 60 % dans une activité adaptée. Le Dr B.________ a indiqué, à plusieurs reprises, la possibilité d’une activité au taux de 50-60 % respectant les limitations fonctionnelles (cf. certificats médicaux des 1er décembre 2011 et 28 janvier 2013), avant de se rétracter et de n’admettre plus qu’une capacité de travail de 20 % en mars 2016 (cf. rapport du 16 mars 2016). Le Dr U.________, quant à lui, ne s’est pas prononcé sur le taux de capacité de travail dans une activité adaptée, réservant cette estimation à une observation pratique en situation de stage. Des mesures professionnelles ont été mises en place par l’OAI. Malgré le peu d’investissement dont a fait preuve la recourante, en raison de ses nombreuses absences, le dernier stage effectué à la réception d’un service des HH.________ a permis de constater son employabilité dans le circuit économique normal au taux de 50 %. S’agissant enfin du dernier rapport médical du Dr B.________, daté du 16 mars 2016, produit en cours de procédure, sous réserve d’une éventuelle aggravation de l’état de santé de la recourante postérieure à la</w:t>
      </w:r>
    </w:p>
    <w:p>
      <w:r>
        <w:t>- 26 - décision attaquée (maladie hyperostosante diffuse [DISH]), il apparaît plutôt comme une appréciation différente d’un état de fait semblable et n’est guère convaincant. En effet, il justifie cette nouvelle estimation de la capacité de travail de la recourante en se fondant sur des éléments qu'il connaissait déjà lorsqu’il a établi son rapport médical du 7 octobre 2014. Compte tenu des opinions divergentes de ces différents praticiens, il est difficile de se faire une idée précise des incidences des troubles du rachis de la recourante sur sa capacité de travail résiduelle. Il convient en conséquence d’admettre que l’instruction devra être complétée sur cet aspect. b) Dans un second grief, la recourante reproche à l’intimé de n’avoir retenu, sur la base du rapport d’enquête ménagère, qu’une invalidité de 18.5 % dans l’accomplissement de ses tâches. Elle considère à cet égard que le rapport d’enquête contient des contradictions entre les observations consignées et l’empêchement évalué. Selon la jurisprudence,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128 V 93 ; TFA I 90/02 du 30 décembre 2002 consid. 2.3.2 [non publié au Recueil officiel] in VSI 2003 p. 221).</w:t>
      </w:r>
    </w:p>
    <w:p>
      <w:r>
        <w:t>- 27 - On ne peut donner entièrement tort à la recourante de critiquer l’enquête ménagère effectuée le 28 juin 2009. Plus que d’éventuelles contradictions, c’est son intervention prématurée dans le processus d’instruction qui permet de douter de sa valeur probante. En effet, en 2009, l'enquêtrice ne disposait pas de l’ensemble des données médicales et de toutes les limitations fonctionnelles posées ultérieurement par les médecins. C’est ainsi sur la seule base des allégations de l’assurée qu’elle a complété son rapport s’agissant des empêchements en lien avec son état de santé, en contradiction avec la jurisprudence précitée. Le contenu du rapport, rédigé de manière trop succincte, ne permet en outre pas d’évaluer de manière objective comment ont été pris en considération les différents empêchements. L’OAI ne pouvait ainsi se passer de faire procéder à un complément d’enquête ménagère une fois la situation médicale posée de façon plus précise. c) La recourante conteste encore le montant du revenu sans invalidité, considérant qu'il s'élève, compte tenu du renchérissement, à 42'898 fr. 90 et non à 40'759 fr. 85, comme retenu dans la décision litigieuse. Elle soutient que le revenu annuel de 2008 sur lequel s'est fondé l'intimé est incorrect. Comme le relève à juste titre la recourante, le revenu annuel de 38'705 fr. 50 indiqué par l'employeur dans le questionnaire du 24 octobre 2008 ne correspond pas au revenu mensuel de 3'251 fr. 70, augmenté d'une prime de fidélité annuelle de 1'104 fr. 45, mentionnés juste après (p. 3). Avec un tel salaire mensuel, le revenu annuel devrait se monter à 39'020 fr. 40, plus la prime de 1'104 fr. 45, soit un total de 40'124 fr. 85. Toutefois, dans ce même formulaire, l'employeur a fait état d'un revenu mensuel de 3'155 fr. 55 de janvier à juin 2008, de 3'222 fr. 70 de juillet à septembre 2008 et de 3'251 fr. 70 pour le mois d'octobre 2008 (p. 19).</w:t>
      </w:r>
    </w:p>
    <w:p>
      <w:r>
        <w:t>- 28 - Ainsi, les informations fournies par l'employeur de la recourante quant aux revenus réalisés par cette dernière en 2008 présentent des divergences, qui devront être éclaircies par l'OAI, afin de déterminer le revenu sans invalidité. 6. a) Compte tenu de ce qui précède, force est d’admettre que l’instruction du dossier est contradictoire s’agissant de la capacité de travail retenue, incomplète en ce qui concerne la capacité ménagère et imprécise s'agissant du montant du revenu sans invalidité. Il conviendra donc de la compléter par une expertise à tout le moins rhumatologique au sens de l’art. 44 LPGA, voire orthopédique si l’expert devait le considérer nécessaire, étant ici expressément réservée la faculté d’y associer, le cas échéant, toute autre spécialité qu’il jugerait opportune. Une fois l’expertise rendue, l’intimé fera procéder à une nouvelle enquête ménagère qui prendra en considération la situation médicale complète. En parallèle, il complètera l'instruction concernant le montant du revenu sans invalidité. b)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w:t>
      </w:r>
    </w:p>
    <w:p>
      <w:r>
        <w:t>- 29 -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En l’espèce, l’intimé est le mieux à même de procéder à l’évaluation des capacités ménagères. Il se justifie donc de lui renvoyer la cause pour instruction complémentaire, y compris d’un point de vue médical, ainsi que pour déterminer le montant du revenu sans invalidité. 7. a) Compte tenu de ce qui précède, le recours, bien-fondé, doit être admis, la décision attaquée annulée et la cause renvoyée à l’intimé pour en compléter l’instruction avant de rendre une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c) La recourante, qui obtient gain de cause avec l'assistance d'un mandataire professionnel, a droit à une indemnité de dépens qu'il convient, compte tenu de l’importance et de la complexité du litige, de fixer à 2'500 fr., à la charge de l'OAI (art. 61 let. g LPGA et 55 LPA-VD). S’agissant des frais en relation avec l’établissement du dernier rapport du Dr B.________ du 16 mars 2016, outre le fait qu’aucune conclusion n’a été prise en ce sens dans le cadre du recours contre la présente décision attaquée, il convient, conformément à l’art. 45 al. 1 LPGA, de rejeter cette demande, dans la mesure où ce rapport n’a pas contribué de manière décisive à la solution du litige.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