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ZD15.036434 vom 17. Januar 2018</w:t>
      </w:r>
    </w:p>
    <w:p>
      <w:r>
        <w:t>VD Tribunal cantonal, 2018-01-17, FR</w:t>
      </w:r>
    </w:p>
    <w:p>
      <w:r>
        <w:rPr>
          <w:b/>
        </w:rPr>
        <w:t xml:space="preserve">Quelle: </w:t>
      </w:r>
      <w:r>
        <w:t>https://mcp.opencaselaw.ch/entscheid/vd_gerichte_ZD15.036434</w:t>
      </w:r>
    </w:p>
    <w:p>
      <w:r>
        <w:t>FR: VD_GERICHTE ZD15.036434 du 17 janvier 2018</w:t>
      </w:r>
    </w:p>
    <w:p>
      <w:r>
        <w:t>IT: VD_GERICHTE ZD15.036434 del 17 gennaio 2018</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- 24 - moins 40 % en moyenne durant une année sans interruption notable et si au terme de cette année, il est invalide à 40 % au moins (art. 28 al. 1 LAI). Selon l'art. 28 al. 2 LAI, l'assuré a droit à un quart de rente s'il est invalide à 40 % au moins, à une demi-rente s'il est invalide à 50 % au moins, à trois quarts de rente s'il est invalide à 60 % au moins et à une rente entière s'il est invalide à 70 % au moins. c)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 lors de la fixation de ces mesures, il est tenu compte de la durée probable de la vie professionnelle restante (art. 8 al. 1bis LAI). L’art. 8 al. 3 let. b LAI dispose que les mesures de réadaptation comprennent notamment les mesures d’ordre professionnel au sens des art. 15 à 18d LAI (orientation professionnelle, formation professionnelle initiale, reclassement, placement et aide en capital). Aux termes de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et 130 V 488 consid. 4.2 et les références citées ; TF 9C_262/2016 du 30 août 2016 consid. 5.1 et 9C_177/2015 du 18 septembre 2015 consid. 4.1)</w:t>
      </w:r>
    </w:p>
    <w:p>
      <w:r>
        <w:t>- 25 -</w:t>
      </w:r>
    </w:p>
    <w:p>
      <w:r>
        <w:rPr>
          <w:b/>
        </w:rPr>
        <w:t>E. 4</w:t>
      </w:r>
    </w:p>
    <w:p>
      <w:r>
        <w:t>a)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b) L'assureur social –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En ce qui concerne les rapports établis par le médecin traitant de l'assuré, le juge prendra en considération le fait que celui-ci peut être enclin, en cas de doute, à prendre parti pour son patient en raison de la relation de confiance qu'ils ont nouée (ATF 125 V 351 consid. 3 et les références citées ; TF 4A_318/2016 du 3 août 2016 consid. 6.2). Les rapports d'examen réalisés par le SMR en vertu de l'art. 49 al. 2 RAI, bien qu’ils ne constituent pas des expertises au sens de l'art. 44 LPGA et ne soient pas soumis aux mêmes exigences formelles</w:t>
      </w:r>
    </w:p>
    <w:p>
      <w:r>
        <w:t>- 26 - (ATF 135 V 254 consid. 3.4), peuvent néanmoins revêtir la même valeur probatoire que des expertises, dans la mesure où ils satisfont aux exigences définies par la jurisprudence, qui sont posées à une expertise médicale (ATF 137 V 210 consid. 1.2.1 ; TF 9C_355/2014 du 2 décembre 2014 consid. 4.2 et 9C_500/2011 du 26 mars 2012 consid. 3.1). Il convient cependant d'ordonner une expertise si des doutes, mêmes faibles, subsistent quant à la fiabilité et à la pertinence des constatations médicales effectuées par le service médical interne de l'assurance (ATF 135 V 465 consid. 4.6 ; TF 9C_80/2016 du 10 août 2016 consid. 5.1). c)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soient suffisamment élucidés (TF 9C_662/2016 du 15 mars 2017 consid. 2.2 et 9C_88/2013 du 4 septembre 2013 consid. 4.1.2).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 TF 9C_718/2015 du 22 mars 2016 consid. 5.2).</w:t>
      </w:r>
    </w:p>
    <w:p>
      <w:r>
        <w:rPr>
          <w:b/>
        </w:rPr>
        <w:t>E. 5</w:t>
      </w:r>
    </w:p>
    <w:p>
      <w:r>
        <w:t>a) En l’espèce, la décision litigieuse de l’OAI est fondée principalement sur l’appréciation du 5 février 2015 de la Dresse W.________ du SMR, confirmée par la suite par les avis médicaux SMR des 28 juin 2016, 18 avril 2017, 6 juillet 2017 et 21 septembre 2017. La praticienne a posé les diagnostics d’allodynie et d’hyperesthésie de la main droite après cure de tunnel carpien sur le plan somatique et n’a retenu aucun diagnostic sur le plan psychique. Elle a estimé que la recourante était incapable de travailler dans son activité habituelle d’esthéticienne depuis le 12 octobre 2012, mais capable de travailler à 100 % dans une activité</w:t>
      </w:r>
    </w:p>
    <w:p>
      <w:r>
        <w:t>- 27 - adaptée, soit toute activité sollicitant peu la main et le bras droits, sans port de charge avec la main droite et n’exigeant pas de travailler avec les bras au-dessus de la tête. L’aptitude à la réadaptation a été fixée au 24 février 2014. b) Il s’avère que les avis médicaux SMR de la Dresse W.________, qui n’a jamais examiné la recourante, n’emportent pas la conviction de la Cour de céans. Plusieurs éléments sont en effet propres à faire naître un doute quant à la fiabilité et à la pertinence de son appréciation. Premièrement, une partie des informations transmises au SMR par l’intimé s’agissant des mesures de réadaptation proposées à l’intéressée était erronée. En effet, dans le mandat SMR du 11 décembre 2014, l’intimé a indiqué que la recourante avait refusé les mesures d’intervention précoce proposées, alors qu’en réalité elle s’était déclarée « partante » pour ces mesures en mai 2014 (rapport initial « IP » du 13 mai 2014) et que l’OAI avait admis en août 2014 le report du stage d’orientation professionnelle (« refus temporaire »), au motif que la situation de l’intéressée n’était pas stabilisée et qu’un tel stage paraissait incompatible avec le traitement d’ergothérapie qu’elle suivait. Dans un autre registre, la Cour observe que l’intimé a admis en août 2014 qu’une mesure d’ordre professionnel était incompatible avec le traitement en cours et l’état de santé de la recourante à ce moment-là, ce qui est un indice important qu’au moins à cette époque-là, l’intéressée n’était pas en mesure d’exercer une activité professionnelle. Or, dans son rapport SMR du 5 février 2015, la Dresse W.________ s’est référée uniquement aux rapports médicaux du Dr P.________, de la Prof. N.________ et du Dr F.________, sans faire aucune mention du rapport du 30 juillet 2014 de l’ergothérapeute R.________ à l’origine de l’interruption des mesures de réadaptation. Le rapport du SMR, qui élude totalement les problématiques de la capacité de travail de la recourante au moment de la réadaptation et des circonstances ayant conduit à l’interruption de cette</w:t>
      </w:r>
    </w:p>
    <w:p>
      <w:r>
        <w:t>- 28 - mesure n’est dès lors pas convaincant. Ces problématiques méritaient une clarification qui n’a pas été demandée par l’intimé. Finalement, certains éléments médicaux dont l’intéressée s’est prévalue en procédure de recours justifient eux aussi de remettre en cause l’appréciation du SMR, sur le plan somatique comme sur le plan psychique. Sur le plan somatique, le Prof. S.________ et la Dresse M.________ ont mis en évidence des atteintes qui n’avaient pas été décelées auparavant par les autres praticiens appelés à se déterminer sur le cas de l’intéressée et qui pourraient expliquer les douleurs ressenties par cette dernière. Ces spécialistes ont fait état d’une neuropathie du nerf ulnaire (protocole opératoire du 6 septembre 2016) avec forte déviation du nerf ulnaire en direction du nerf médian (rapport du 10 août 2017 du Prof. S.________), respectivement d’une compression du nerf ulnaire avec trajet aberrant du nerf ulnaire dans la région de l'os pisiforme (rapport du</w:t>
      </w:r>
    </w:p>
    <w:p>
      <w:r>
        <w:rPr>
          <w:b/>
        </w:rPr>
        <w:t>E. 9</w:t>
      </w:r>
    </w:p>
    <w:p>
      <w:r>
        <w:t>février 2017 de la Dresse M.________). Le Prof. S.________ a en outre observé une nette compression avec déformation du nerf en sablier (protocole opératoire du 6 septembre 2016). Tant le Prof. S.________ que la Dresse M.________ se sont fondés sur des éléments cliniques objectifs dont la Prof. N.________ et le Dr F.________ n’avaient pas connaissance lorsqu’ils se sont prononcés sur la capacité résiduelle de travail de la recourante en 2013 et 2014. Le SMR a estimé néanmoins que les rapports des spécialistes devaient être écartés, au motif qu’il s’agirait d’une simple appréciation différente d’un même état de fait (avis médicaux du SMR des 18 avril et 21 septembre 2017). Or, dans la mesure où la présente procédure n’est pas une procédure de révision mais bien l’examen d’une première demande de prestations AI, cet argument n’est pas pertinent. Dans ce contexte, bien que les éléments cliniques mis en évidence paraissent démontrer une atteinte relativement circonscrite, l’avis du SMR ne peut être suivi. Il existe ainsi une incertitude sur la nature exacte des troubles somatiques présentés par la recourante et leur influence sur sa capacité de travail.</w:t>
      </w:r>
    </w:p>
    <w:p>
      <w:r>
        <w:t>- 29 - Sur le plan psychique, la Prof. N.________ a posé le diagnostic d’état dépressif en raison de troubles du sommeil chroniques liés à des douleurs, respectivement d’état dépressif lié à la résurgence de l’allodynie (rapports des 15 septembre 2015, 28 décembre 2015 et 14 mars 2016). Les Dresses M.________ et U.________ ont en outre estimé que les allodynies de la recourante présentaient des douleurs entraînant un syndrome dépressif (rapport du 9 février 2017 de la Dresse M.________), respectivement pouvant entraîner des états dépressifs (certificat médical de la Dresse U.________ du 21 mai 2017). La Dresse W.________ du SMR a reconnu une péjoration de la situation de l’intéressée, avec notamment une symptomatologie psychique, à compter de septembre 2015 (avis médicaux SMR des 28 juin 2016 et 18 avril 2017). Elle a en revanche nié toute atteinte psychique au moment du prononcé de la décision litigieuse du 22 juin 2015, sans aucune explication objective ni investigation complémentaire, pour la seule raison semble-t-il que le diagnostic de trouble dépressif a été articulé pour la première fois en septembre 2015. Or, compte tenu des causes alléguées du possible état dépressif de l’intéressée (troubles du sommeil chroniques et résurgence de l’allodynie) et du fait que le SMR a admis une péjoration de sa symptomatologie psychique, on ne peut exclure la présence chez la recourante avant septembre 2015 d’une atteinte à la santé psychique invalidante ayant une influence sur sa capacité de travail, au seul motif que les médecins ont posé le diagnostic pour la première fois à ce moment-là. Faute d’argument médical, l’appréciation du SMR ne l’emporte pas sur les avis de la Prof. N.________ et des Dresses M.________ et U.________. Elle ne permet pas d’écarter totalement le diagnostic d’état dépressif invalidant. c) Compte tenu de ce qui précède, il existe des indices tendant à démontrer que l’intéressée était incapable d’exercer toute activité professionnelle en août 2014 et qu’elle pourrait avoir souffert d’une compression du nerf ulnaire voire d’un état dépressif à même d’influer sur sa capacité de travail, non seulement dans son activité habituelle mais également dans une activité adaptée. Ces questions n’ayant fait l’objet d’aucune investigation de la part de l’OAI, il est impossible pour la Cour de céans de se prononcer sur l’état de santé de l’intéressée sur le plan</w:t>
      </w:r>
    </w:p>
    <w:p>
      <w:r>
        <w:t>- 30 - somatique et l'évolution de sa capacité de travail depuis 2013. On ignore également si la recourante présentait un atteinte psychique invalidante, et cas échéant, quelle était son influence sur sa capacité de travail et depuis quand. Force est ainsi de constater que le dossier de la recourante, lacunaire sur le plan somatique et psychique, ne permet pas d’apprécier à satisfaction de droit la nature des atteintes dont elle souffre et leurs conséquences éventuelles sur la capacité de travail. Le recours est par conséquent bien fondé.</w:t>
      </w:r>
    </w:p>
    <w:p>
      <w:r>
        <w:t>- 31 - 6.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les faits médicaux pertinents n’ont pas été constatés de manière complète, tant sur le plan somatique que psychique. Il apparaît que l’instruction doit être complétée afin que les diagnostics à poser et l'étendue de leur caractère invalidant éventuel puissent être examinés.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incombera ainsi à l’intimé de mettre en œuvre une expertise au sens de l’art. 44 LPGA, comprenant au moins un volet chirurgical de la main et un volet</w:t>
      </w:r>
    </w:p>
    <w:p>
      <w:r>
        <w:t>- 32 - psychique. Cela fait, il appartiendra ensuite à l’intimé de rendre une nouvelle décision statuant sur les prétentions de la recourante. 7. a) En définitive, le recours doit être admis et la décision attaquée annulée, la cause étant renvoyée à l’intimé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l’intimé, qui succombe. La recourante, qui obtient gain de cause avec l'assistance d'un mandataire, a droit à des dépens à la charge de l'intimé (art. 61 let. g LPGA) qu'il convient d'arrêter à 2’500 fr. compte tenu de l’importance et de la complexité du litige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