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ZD15.036427 vom 16. Januar 2017</w:t>
      </w:r>
    </w:p>
    <w:p>
      <w:r>
        <w:t>VD Tribunal cantonal, 2017-01-16, FR</w:t>
      </w:r>
    </w:p>
    <w:p>
      <w:r>
        <w:rPr>
          <w:b/>
        </w:rPr>
        <w:t xml:space="preserve">Quelle: </w:t>
      </w:r>
      <w:r>
        <w:t>https://mcp.opencaselaw.ch/entscheid/vd_gerichte_ZD15.036427</w:t>
      </w:r>
    </w:p>
    <w:p>
      <w:r>
        <w:t>FR: VD_GERICHTE ZD15.036427 du 16 janvier 2017</w:t>
      </w:r>
    </w:p>
    <w:p>
      <w:r>
        <w:t>IT: VD_GERICHTE ZD15.036427 del 16 gennaio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(cf. art. 60 al. 1 LPGA). Il satisfait en outre aux autres conditions légales (cf. art. 61 let. b LPGA notamment),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w:t>
      </w:r>
    </w:p>
    <w:p>
      <w:r>
        <w:t>- 15 - des liens étroits avec la question litigieuse (cf. ATF 134 V 418 consid. 5.2.1 ; 131 V 164 consid. 2.1 ; 130 V 138 consid. 2.1 ; 125 V 413 consid. 2c). En outre, le juge n'a pas l'obligation d'exposer et de discuter tous les faits, moyens de preuve et griefs invoqués par les parties, mais peut au contraire se limiter à l'examen des questions décisives pour l'issue du litige (ATF 138 IV 81 consid. 2.2 ; 134 I 83 consid. 4.1 et les arrêts cités). b) Dans la décision contestée, l’OAI a refusé à la recourante le droit à des prestations d’assurance-invalidité, plus particulièrement le droit à une rente et à une mesure de reclassement. Dans la mesure où la recourante ne remet pas en question le refus d’une mesure de reclassement dans son recours, le présent litige porte seulement sur le droit de la recourante à une rente d'invalidité.</w:t>
      </w:r>
    </w:p>
    <w:p>
      <w:r>
        <w:rPr>
          <w:b/>
        </w:rPr>
        <w:t>E. 2.1</w:t>
      </w:r>
    </w:p>
    <w:p>
      <w:r>
        <w:t>; 121 V 362 consid. 1b ; TF 9C_899/2013 du 24 février 2014 consid. 4.3), ce qui n’est pas le cas en l’occurrence. b) Sur le plan psychique, à l’exception du trouble obsessionnel compulsif, l’expertise décrit, parfois sous une formulation différente, les mêmes plaintes et relations d’événements par la recourante que le rapport de la Dresse J.________, mais aboutit à des diagnostics différents. L’expert pose celui d’accentuation de traits de la personnalité, notamment dépendante, là où le psychiatre traitant diagnostique un trouble de la personnalité dépendante. La Dresse J.________ pose le diagnostic de phobie sociale et de claustrophobie, se référant à des crises d’angoisse à type d’attaque de panique avec phénomène de dépersonnalisation. Des épisodes de crises de panique sont également mentionnés par le Dr X.________ et la physiothérapeute H.________ dans leurs rapports médicaux. L’expert, quant à lui, retient un état anxieux d’intensité légère, fluctuante en lieu et place de la phobie sociale et de la claustrophobie, en expliquant que s’il existe certaines manifestations neurovégétatives, elles ne revêtent pas les caractéristiques de véritables crises de panique. Selon lui, l’évitement social n’est pas significatif d’une véritable phobie sociale, ni d’inhibition de principe mais la résultante du contexte socio-culturel. S’agissant du trouble obsessionnel compulsif, l’expert ne l’a selon toute évidence pas observé à la faveur de son examen, ni d’ailleurs les responsables du stage aux W.________. La Dresse J.________ mentionne à ce sujet que l’assurée lui a signalé des rituels de lavage avec plusieurs épisodes dans la journée. A priori, même avérée, cette affection ne serait pas incapacitante vu sa nature. Cela étant, les diagnostics du médecin traitant et de l’expert ne s’avèrent pas contradictoires. Il s’agit simplement de l’appréciation, différente, exprimée en termes de diagnostic, d’une situation identique.</w:t>
      </w:r>
    </w:p>
    <w:p>
      <w:r>
        <w:t>- 31 - Enfin, le psychiatre traitant ne fait aucune mention d’une incapacité de travail en relation avec les diagnostics posés. Elle se réfère uniquement au contenu du rapport de stage, selon lequel l’assurée pourrait exercer une activité à 40 % dans un atelier adapté. Au vu de l’ensemble de ce qui précède, il n’y a pas lieu de s’écarter des conclusions de l’expert, à savoir que la recourante ne présente aucune incapacité de travail psychique. c) L’expertise mentionne en outre l’existence d’une fibromyalgie, précisant que l’assurée présente tous les points de cette maladie. Les experts retiennent ainsi le diagnostic, non incapacitant, de fibromyalgie dans le cadre d’un trouble somatoforme. Ils précisent cependant que ce diagnostic n’est pas évident en raison de l’absence d’annonce de douleurs diffuses intéressant autant la ceinture scapulaire que pelvienne. aa)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p. 291 ss et 3.5 p. 294) et introduit un nouveau schéma d'évaluation au moyen d'un catalogue d'indicateurs (ATF 141 V 281 consid. 4 p. 296).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w:t>
      </w:r>
    </w:p>
    <w:p>
      <w:r>
        <w:t>- 32 - de grandes divergences entre les informations fournies par le patient et celles ressortant de l'anamnèse, le fait que des plaintes très démonstratives laissent insensible l'expert, ainsi que l'allégation de lourds handicaps malgré un environnement psycho-social intact. bb) En l’occurrence, l’expertise met en évidence une discordance entre les plaintes annoncées et l’absence de difficulté apparente à la mobilisation du membre supérieur gauche ainsi que l’absence de comportement algique spontané. L’expert en médecine interne relève en outre clairement le manque de collaboration de la recourante, précisant que celle-ci procède à des blocages antalgiques, par moments à des lâchages, mouvements de retrait, grimaces et interposition de ses mains sous la main de l’expert. L’assurée est décrite comme collaborante, mais assez démonstrative par l’expert neurologique. Celui-ci estime que les différentes plaintes de la patiente restent de signification très douteuse sur le plan fonctionnel. Il précise que l’examen des capacités fonctionnelles corrobore l’impression clinique, à savoir que la recourante présente des autolimitations ainsi qu’une tendance à surcharger ses plaintes et qu’il existe une discordance entre les capacités fonctionnelles résiduelles qu’elle mentionne et la réalité objective. L’ensemble de ces éléments plaide en faveur d’un motif d’exclusion au sens de la jurisprudence (cf. consid. 2.2 de l’ATF 141 V 281). Dès lors, il se justifie de suivre les conclusions de l’expertise, selon lesquelles le diagnostic de fibromyalgie, respectivement de trouble somatoforme douloureux, n’a pas un caractère invalidant. d) Au vu de ce qui précède, on ne saurait reprocher à l’OAI d’avoir suivi les conclusions de l’expertise, étant rappelé que les facteurs psycho-sociaux ou socio-culturels ne relèvent pas de l’assurance-invalidité et ne peuvent justifier une incapacité de travail au sens de cette assurance sociale (TF 9C_700/2009 du 29 mars 2010 consid. 4.2.4.3 et la référence).</w:t>
      </w:r>
    </w:p>
    <w:p>
      <w:r>
        <w:t>- 33 - 8. Finalement, la recourante revient sur les conclusions de l’enquête ménagère, invoquant ne pas être capable d’effectuer les tâches du ménage, lesquelles sont prises en charge par son mari, ses enfants ainsi qu’une aide-ménagère. A noter que lors de l’enquête réalisée le 29 mars 2010, la recourante bénéficiait déjà d’une aide-ménagère du Centre médico-social (CMS) à raison de deux heures par semaine depuis octobre 2009 (cf. p. 5 du rapport d’Enquête économique sur le ménage). Il faut constater que la recourante ne fait valoir aucun élément nouveau depuis la décision du 14 juin 2010 et reprend au contraire pour l’essentiel la même argumentation que celle qu’elle avait présentée contre le projet de décision négative du 22 avril 2010. Au demeurant, il n’y a aucune raison de remettre en cause les conclusions de cette enquête (sur la valeur probante d’un rapport d’enquête ménagère, cf. ATF 128 V 93). Les experts se sont par ailleurs prononcés en connaissance de ce rapport d’enquête (cf. p. 2, 6 et 7 du rapport d’expertise), l’ont mis en relation avec les déclarations de l’expertisée (cf. p. 11 de l’expertise) et admettent également une incapacité dans les activités ménagères à hauteur de 30 %.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(ATF 133 V 504 consid. 4.2 ; TF 9C_925/2013 du 1er avril 2014 consid. 2.3 et les références). Cela est d’autant plus exigible dans la situation de la recourante que son mari et ses enfants vivent sous le même toit et que ces derniers sont devenus plus autonomes. 9. a) En conclusion, c’est à juste titre que l’OAI a rejeté la nouvelle demande de rente d’invalidité déposée par l’assurée. b) Le dossier étant complet, permettant ainsi à la présente autorité de statuer en pleine connaissance de cause, il n'y a pas lieu d'ordonner une instruction complémentaire sous la forme d'une nouvelle expertise ni d’entendre des témoins. En effet, de telles mesures</w:t>
      </w:r>
    </w:p>
    <w:p>
      <w:r>
        <w:t>- 34 - d'instruction ne seraient pas de nature à modifier les considérations qui précèdent, puisque les faits pertinents ont pu être constatés à satisfaction de droit (sur l'appréciation anticipée des preuves cf. ATF 137 III 208 consid. 2.2 p. 210 ; ATF 135 II 286 consid. 5.1 p. 293 ; ATF 134 I 140 consid. 5.2 p. 147 s.; ATF 130 II 425 consid. 2.1 p. 429).</w:t>
      </w:r>
    </w:p>
    <w:p>
      <w:r>
        <w:rPr>
          <w:b/>
        </w:rPr>
        <w:t>E. 2.2</w:t>
      </w:r>
    </w:p>
    <w:p>
      <w:r>
        <w:t>;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9C_435/2013 du 27 septembre 2013 consid. 5.1 ; TFA I 490/03 du 25 mars 2004 consid. 3.2).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w:t>
      </w:r>
    </w:p>
    <w:p>
      <w:r>
        <w:t>- 22 - ont subi un changement important. Une simple appréciation différente d'un état de fait, qui, pour l'essentiel, est demeuré inchangé n'appelle en revanche pas à une révision au sens de l'art. 17 LPGA (ATF 133 V 108 consid. 5 ; 130 V 343 consid. 3.5 et 125 V 368 consid. 2 ; TF 9C_818/2015 du 22 mars 2016 consid. 2.2).</w:t>
      </w:r>
    </w:p>
    <w:p>
      <w:r>
        <w:rPr>
          <w:b/>
        </w:rPr>
        <w:t>E. 3</w:t>
      </w:r>
    </w:p>
    <w:p>
      <w:r>
        <w:t>En premier lieu, la recourante fait valoir des griefs d’ordre formel. Elle considère que la gestionnaire de dossier à l’origine du projet de décision a fait preuve d’a priori à son égard pendant l’instruction et que l’objectivité fait défaut dans la mesure où elle est restée en charge de la décision après le dépôt des objections. La recourante se prévaut par ailleurs de l’art. 5 let. b RLOAI (règlement d’application du 3 décembre 1993 de la loi du 14 septembre 1993 instituant l’office de l’assurance- invalidité pour le Canton de Vaud ; RSV 831.01.1), lequel confère au directeur de l’OAI la compétence de traiter avec les assurés, pour soutenir que la décision aurait dû être signée par le directeur. Enfin, elle invoque implicitement une violation de son droit d’être entendue dans la mesure où elle reproche à l’OAI de ne s’être prononcé sur aucun des éléments qu’elle a présentés dans ses objections. a) aa) La récusation en procédure administrative est réglée par l’art. 36 LPGA, qui prévoit que les personnes appelées à rendre ou à préparer des décisions sur des droits ou des obligations doivent se récuser</w:t>
      </w:r>
    </w:p>
    <w:p>
      <w:r>
        <w:t>- 16 - si elles ont un intérêt personnel dans l’affaire ou si, pour d’autres raisons, elles semblent prévenues (al. 1). Si la récusation est contestée, la décision est rendue par l’autorité de surveillance ; s’il s’agit de la récusation d’un membre d’un collège, la décision est rendue par le collège en l’absence de ce membre (al. 2). Le droit à un procès équitable, ancré à l’art. 29 al. 1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137 II 431 consid. 5.2 ; 127 I 196 consid. 2b ; 125 I 119 consid. 3b et réf. citées). De manière générale, les dispositions sur la récusation sont moins sévères pour les membres des autorités administratives que pour les autorités judiciaires. Contrairement à l'art. 30 al. 1 Cst. applicable à la procédure judiciaire,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Tel est plus particulièrement le cas lorsque l'autorité, dans le but d'inviter le justiciable à se déterminer dans le cadre de son droit d'être entendu, émet un avis provisoire sur le sort du litige (ATF 137 II 431 consid. 5.2 ; 125 I 119</w:t>
      </w:r>
    </w:p>
    <w:p>
      <w:r>
        <w:t>- 17 - consid. 3f ; voir également TF 2C_831/2011 du 30 décembre 2011 consid. 3.2). De même, une partie ne peut pas justifier le devoir de récusation d'une personne au seul motif que cette personne a, dans une procédure antérieure, pris une décision à son détriment ou contribué à une prise de décision antérieure la concernant (cf. ATF 114 Ia 278 consid. 1 ; TF 2C_794/2011 du 22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art. 36 al. 1 LPGA et 10 PA [loi fédérale du 20 décembre 1968 sur la procédure administrative ; RS 172.021]; voir TF 9C_499/2013 du 20 février 2014 consid. 5.2 et réf. citées). bb) En l’occurrence, s’agissant d’éventuels motifs de récusation à l’égard de la gestionnaire de dossier survenus en cours d’instruction, il appartenait à la recourante de les soulever en temps utile devant l’OAI (sur la notion « d’autorité de surveillance » de l’art. 36 al. 2 LPGA, cf. TF U 302/05 du 30 août 2006 consid. 3.2 ; Ueli Kieser, ATSG- Kommentar, 3e éd., 2015, ad art. 36 p. 518ss). En outre, la LPGA et la LAI, de même que leurs dispositions d’application, n’imposent pas la récusation d’office de l’auteur d’un projet de décision en cas de contestation de cet acte. Au contraire, selon la jurisprudence, le seul fait d’émettre un avis provisoire sur le sort du litige n’est pas une circonstance de nature à fonder une apparence de prévention. Il n’y avait donc aucune raison justifiant que la gestionnaire de dossier se dessaisisse de l’affaire suite aux objections formulées par la recourante contre le projet de décision. Pour le surplus, la recourante ne présente aucun motif objectif de récusation à l’encontre de la gestionnaire de dossier. Elle se contente d’affirmer que celle-ci a fait preuve d’a priori à son égard lors de l’instruction sans toutefois citer d’éléments concrets. Les pièces du dossier ne font par ailleurs pas ressortir de circonstances susceptibles de fonder</w:t>
      </w:r>
    </w:p>
    <w:p>
      <w:r>
        <w:t>- 18 - une apparence de prévention de la part de la gestionnaire de dossier. Ce grief doit dès lors être écarté. b) S’agissant de la validité de la signature apposée sur la décision attaquée, il faut constater que ni la LPGA, ni la LAI, ni leurs dispositions d’application, y compris la législation cantonale, n’imposent un mode de signature particulier pour les décisions formelles. On ne saurait par ailleurs déduire de la teneur de l’art. 5 RLOAI que seul le directeur de l’OAI a qualité pour signer les décisions formelles. En effet, cette disposition a pour seul but de distinguer les attributions du directeur de l’OAI de celles du conseil de l’OAI. La Circulaire sur la procédure dans l’assurance-invalidité (CPAI) établie par l’Office fédéral des assurances sociales (OFAS) renvoie à la Circulaire sur le contentieux dans l’AVS, l’AI, les APG et les PC (CCONT) pour ce qui concerne la signature de décisions et de communications (cf. ch. 3002 p. 59 CPAI [état au 1er janvier 2016]). La CCONT prévoit que la décision doit être, d’une manière générale, signée par la personne qui est habilitée à représenter l’organe d’exécution, étant précisé qu’on peut renoncer à cette signature s’il s’agit de décisions de cotisations établies sur des formules préimprimées ou à l’aide d’un ordinateur ou s’il s’agit de décisions concernant l’octroi de prestations d’assurance établies à l’aide d’un ordinateur (ch. 1007 CCONT [état le 1er avril 2013]). Cette réglementation a été jugée conforme à la loi et à la jurisprudence en matière de signature (ATF 112 V 87). Le Tribunal fédéral a laissé ouverte la question de savoir si l’inobservation d’instructions administratives qui exigent expressément une signature ne représente qu’une violation de prescriptions d’ordre ou si la validité de l’acte juridique est, par là, mise en question par principe, de la même manière que là où la loi exige non seulement la forme écrite, mais encore la signature (ATF 105 V 248 consid. 4b, in RCC 1980 p. 164). Quoi qu’il en soit, le défaut de la signature exigée ne conduit en principe pas à la nullité de la décision, mais tout au plus à son annulabilité (cf. ATF 138 II 501 consid. 3.1 et 131 V 483 consid. 2.3.1 ; TF 1P.330/2000 du 12 décembre 2000 consid. 3b, partiellement publié in ATF 127 I 44).</w:t>
      </w:r>
    </w:p>
    <w:p>
      <w:r>
        <w:t>- 19 - En l’occurrence, il n’y a pas lieu de douter que la gestionnaire de dossier en charge du cas de l’assurée était habilitée à signer la décision attaquée au nom de l’OAI au sens des circulaires précitées. Il faut de plus constater qu’elle a apposé sa signature manuscrite non seulement sur la décision du 4 août 2015, mais également sur la motivation qui l’accompagnait. Au demeurant, la recourante ne fait pas valoir qu’elle aurait subi un préjudice en relation avec la notification de cette décision (cf. ATF 122 I 97 consid. 3a/aa et TF U 68/02 du 14 avril 2003 consid. 1), si bien qu’il n’y a aucune raison de remettre en cause la validité de celle-ci. c) S’agissant du fait que l’OAI ne s’est pas exprimé sur les objections formulées par la recourante au projet de décision du 16 avril 2015, il faut rappeler que les exigences de motivation découlant du droit d’être entendu, garanti à l’art. 29 al. 2 Cst., n’impliquent pas l'obligation pour l’autorité, respectivement le juge, d'exposer et de discuter tous les faits, moyens de preuve et griefs invoqués par les parties, mais ceux-ci peuvent au contraire se limiter à l'examen des questions décisives pour l'issue du litige. L’autorité qui rend la décision doit ainsi mentionner, au moins brièvement, les motifs qui l'ont guidée et sur lesquels elle a fondé sa décision, de manière à ce que l'intéressé puisse se rendre compte de la portée de celle-ci et l'attaquer en connaissance de cause (ATF 141 V 557 consid. 3.2.1 ; 138 IV 81 consid. 2.2 ; 134 I 83 consid. 4.1 et les arrêts cités). Or il faut constater que l’OAI a clairement exposé dans la décision attaquée les motifs qui l’ont conduit à nier le droit de l’assurée à une rente d’invalidité et qu’il n’avait pas l’obligation de confronter chacun des arguments avancés par celle-ci. On ne saurait dès lors y voir une violation du droit d’être entendu de la recourante. d) En l’absence de vices formels, il convient de passer à l’examen matériel du cas et d’examiner si c’est à juste titre que l’OAI a refusé à la recourante le droit à une rente d’invalidité.</w:t>
      </w:r>
    </w:p>
    <w:p>
      <w:r>
        <w:t>- 20 -</w:t>
      </w:r>
    </w:p>
    <w:p>
      <w:r>
        <w:rPr>
          <w:b/>
        </w:rPr>
        <w:t>E. 4</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(en vigueur depuis le 1er janvier 2008),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b)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- 21 - c)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w:t>
      </w:r>
    </w:p>
    <w:p>
      <w:r>
        <w:t>- 23 - l’élément déterminant, pour la valeur probante d’un rapport médical, n’est ni l’origine du moyen de preuve, ni sa désignation comme rapport ou comme expertise, mais bel et bien son contenu (ATF 134 V 231 consid.</w:t>
      </w:r>
    </w:p>
    <w:p>
      <w:r>
        <w:rPr>
          <w:b/>
        </w:rPr>
        <w:t>E. 5.1</w:t>
      </w:r>
    </w:p>
    <w:p>
      <w:r>
        <w:t>;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w:t>
      </w:r>
    </w:p>
    <w:p>
      <w:r>
        <w:rPr>
          <w:b/>
        </w:rPr>
        <w:t>E. 10</w:t>
      </w:r>
    </w:p>
    <w:p>
      <w:r>
        <w:t>a) En conséquence,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Toutefois, dès lors qu’elle a été mise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c) Enfin, la recourante n’obtenant pas gain de cause, il n’y a pas lieu d’allouer de dépens, celle-ci ayant au demeurant agi sans l’aide d’un mandataire professionnel (61 let. g LPGA et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