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ZD15.035966 vom 10. November 2016</w:t>
      </w:r>
    </w:p>
    <w:p>
      <w:r>
        <w:t>VD Tribunal cantonal, 2016-11-10, FR</w:t>
      </w:r>
    </w:p>
    <w:p>
      <w:r>
        <w:rPr>
          <w:b/>
        </w:rPr>
        <w:t xml:space="preserve">Quelle: </w:t>
      </w:r>
      <w:r>
        <w:t>https://mcp.opencaselaw.ch/entscheid/vd_gerichte_ZD15.035966</w:t>
      </w:r>
    </w:p>
    <w:p>
      <w:r>
        <w:t>FR: VD_GERICHTE ZD15.035966 du 10 novembre 2016</w:t>
      </w:r>
    </w:p>
    <w:p>
      <w:r>
        <w:t>IT: VD_GERICHTE ZD15.035966 del 10 novembre 2016</w:t>
      </w:r>
    </w:p>
    <w:p>
      <w:pPr>
        <w:pStyle w:val="Heading2"/>
      </w:pPr>
      <w:r>
        <w:t>Erwägungen</w:t>
      </w:r>
    </w:p>
    <w:p>
      <w:r>
        <w:rPr>
          <w:b/>
        </w:rPr>
        <w:t>E. 4</w:t>
      </w:r>
    </w:p>
    <w:p>
      <w:r>
        <w:t>Sur le fond, il s’agit d’examiner si c’est à juste titre que l’OAI a suspendu le versement de la rente d’invalidité du recourant à titre provisionnel. a) L’art. 31 aI.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w:t>
      </w:r>
    </w:p>
    <w:p>
      <w:r>
        <w:t>- 14 - de la contribution d’assistance, ainsi que la situation personnelle et éventuellement économique de l’assuré. b) En cas de révision du droit à la rente en raison d’une diminution notable du taux d’invalidité de la personne assurée (art. 17 LPGA), la diminution ou la suppression des prestations prend effet rétroactivement à la date où elle a cessé de correspondre aux droits de l'assuré, s'il se l'est fait attribuer irrégulièrement ou s'il a manqué, à un moment donné, à l'obligation de renseigner qui lui incombe raisonnablement en vertu de l'art. 77 RAI (art. 88bis al. 2 let. b RAI). Selon l’art. 21 aI. 4 LPGA, applicable à l’assurance-invalidité sous réserve de dérogations expresses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let. b LAI, en vigueur depuis le 1er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3e éd., Zurich 2015, n° 108 ad art. 21 LPGA).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w:t>
      </w:r>
    </w:p>
    <w:p>
      <w:r>
        <w:t>- 15 - 25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119 V 503 consid. 4 et les références ; TF 9C_45/2010 du 12 avril 2010 consid. 2). c) En l’occurrence, le recourant a enfreint son obligation de renseigner en n’informant pas l’OAI de la création de son entreprise C.________ SA, de son rôle d’administrateur unique et de son implication dans la marche des affaires de cette société. Les raisons qui l’ont poussé à créer cette société sont sans pertinence de même que le fait qu’il n’en percevait aucun revenu. Il était en effet tenu d’informer l’OAI de toute modification dans sa situation personnelle ou économique susceptible de se répercuter sur le droit aux prestations. Or le fait de créer une société anonyme, d’en être l’administrateur unique et de s’impliquer dans son fonctionnement, même à titre « occupationnel » comme il le soutient, étaient des circonstances qui devaient être annoncées à l’OAI, dans la mesure où elles étaient susceptibles d’avoir une influence sur son droit aux prestations. Il faut rappeler à cet égard que l’assuré était alors au bénéfice d’une rente d’invalidité entière au motif que son incapacité de travail était jugée totale. Le recourant avait été expressément rendu attentif à son obligation de renseigner dans la décision d’octroi de rente du 19 mars 2012, de même que dans la communication du 6 septembre 2013 confirmant son droit à une rente d’invalidité entière. Compte tenu de cette violation de l’obligation d’informer, l’OAI était légitimé à suspendre le versement de ses prestations à titre provisionnel, compte tenu des difficultés auxquelles il se confronterait en cas de demande de restitution des prestations versées à tort. Compte tenu de la situation médicale, économique et familiale du recourant, l’OAI est</w:t>
      </w:r>
    </w:p>
    <w:p>
      <w:r>
        <w:t>- 16 - invité à poursuivre l’instruction du cas sans discontinuer afin de statuer aussi rapidement que possible sur le fond.</w:t>
      </w:r>
    </w:p>
    <w:p>
      <w:r>
        <w:rPr>
          <w:b/>
        </w:rPr>
        <w:t>E. 5</w:t>
      </w:r>
    </w:p>
    <w:p>
      <w:r>
        <w:t>a) Il s’ensuit que le recours doit être rejeté et la décision attaquée confirmée. b) Les frais de justice, fixés en l'espèce à 400 francs, sont mis à la charge du recourant qui succombe (art. 69 al. 1bis LAI ; 49 al. 1 LPA- VD). c) Dans la mesure où il n’a pas eu gain de cause, le recourant ne peut pas prétendre à une allocation de dépens (art. 61 let. g a contrario LPGA). Sa conclusion, tendant à fixer les dépens en tenant compte de la commission d’un acte illicite par l’OAI est dès lors sans objet. La Cour de céans n’a par ailleurs pas à se prononcer sur l’éventuel caractère illicite des suspicions dirigées par l’OAI à l’encontre du recourant, cette question ne faisant pas partie de l’objet du litige (cf. consid. 2a supra). Il est par ailleurs rappelé que la responsabilité pour les dommages est régie par l’art. 78 LPGA, auquel renvoient les art. 66 LAI et</w:t>
      </w:r>
    </w:p>
    <w:p>
      <w:r>
        <w:rPr>
          <w:b/>
        </w:rPr>
        <w:t>E. 10</w:t>
      </w:r>
    </w:p>
    <w:p>
      <w:r>
        <w:t>LOAI (loi vaudoise du 14 septembre 1993 instituant l'office de l'assurance-invalidité pour le canton de Vaud [LOAI ; RSV 831.01]). Le recours est par conséquent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