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ZD15.034522 vom 19. Februar 2016</w:t>
      </w:r>
    </w:p>
    <w:p>
      <w:r>
        <w:t>VD Tribunal cantonal, 2016-02-19, FR</w:t>
      </w:r>
    </w:p>
    <w:p>
      <w:r>
        <w:rPr>
          <w:b/>
        </w:rPr>
        <w:t xml:space="preserve">Quelle: </w:t>
      </w:r>
      <w:r>
        <w:t>https://mcp.opencaselaw.ch/entscheid/vd_gerichte_ZD15.034522</w:t>
      </w:r>
    </w:p>
    <w:p>
      <w:r>
        <w:t>FR: VD_GERICHTE ZD15.034522 du 19 février 2016</w:t>
      </w:r>
    </w:p>
    <w:p>
      <w:r>
        <w:t>IT: VD_GERICHTE ZD15.034522 del 19 febbraio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- 20 - Dans le cas présent, le recours a été formé en temps utile, compte tenu des féries estivales (cf. art. 38 al. 4 let. b LPGA) et dans le respect des formalités prévues par la loi (art. 61 let. b LPGA notamment), de sorte qu'il est recevable. b) La LPA-VD (loi du 28 octobre 2008 sur la procédure administrative ;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let. a LPA-VD).</w:t>
      </w:r>
    </w:p>
    <w:p>
      <w:r>
        <w:rPr>
          <w:b/>
        </w:rPr>
        <w:t>E. 2</w:t>
      </w:r>
    </w:p>
    <w:p>
      <w:r>
        <w:t>La question à examiner est celle du droit à la rente du recourant.</w:t>
      </w:r>
    </w:p>
    <w:p>
      <w:r>
        <w:rPr>
          <w:b/>
        </w:rPr>
        <w:t>E. 3</w:t>
      </w:r>
    </w:p>
    <w:p>
      <w:r>
        <w:t>Est réputée invalidité l'incapacité de gain totale ou partielle qui est présumée permanente ou de longue durée, résultant d'une infirmité congénitale, d'une maladie ou d'un accident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w:t>
      </w:r>
    </w:p>
    <w:p>
      <w:r>
        <w:t>- 21 -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w:t>
      </w:r>
    </w:p>
    <w:p>
      <w:r>
        <w:t>- 22 -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w:t>
      </w:r>
    </w:p>
    <w:p>
      <w:r>
        <w:rPr>
          <w:b/>
        </w:rPr>
        <w:t>E. 5</w:t>
      </w:r>
    </w:p>
    <w:p>
      <w:r>
        <w:t>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les troubles moteurs dissociatifs (TF 9C_903/2007 du 30 avril 2008 consid. 3.4), le traumatisme</w:t>
      </w:r>
    </w:p>
    <w:p>
      <w:r>
        <w:t>- 23 - de type "coup du lapin" (ATF 130 V 352 consid. 3) ou encore l'hypersomnie non organique (ATF 137 V 64).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w:t>
      </w:r>
    </w:p>
    <w:p>
      <w:r>
        <w:t>- 24 - que l'allégation de lourds handicaps malgré un environnement psycho- social intact. A lui seul, un simple comportement ostensible ne permet pas de conclure à une exagération. 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w:t>
      </w:r>
    </w:p>
    <w:p>
      <w:r>
        <w:t>- 25 -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rPr>
          <w:b/>
        </w:rPr>
        <w:t>E. 6</w:t>
      </w:r>
    </w:p>
    <w:p>
      <w:r>
        <w:t>a) En l'occurrence, sur le plan psychique, le Dr Q.________ a posé le diagnostic de troubles somatoformes douloureux persistants. Le Dr W.________ a retenu le diagnostic d'épisode dépressif sévère, sans symptômes psychotiques, actuellement en rémission partielle en relevant qu'il objectivait au moment de l'expertise un épisode dépressif léger à la limite de l'épisode dépressif moyen. Ce praticien est d'avis que le diagnostic de trouble somatoforme douloureux persistant ne doit pas être maintenu dans la mesure où un substrat organique est retenu. Il a toutefois examiné les critères posés par la jurisprudence concernant ces troubles pour conclure qu'ils ne sont pas remplis. Il a finalement posé le diagnostic de facteurs psychologiques ou comportementaux associés à des troubles ou des maladies classées ailleurs (F 54) en mentionnant "sans critères jurisprudentiels de gravité remplis". Selon la CIM-10 (Classification Internationale des Maladies, 10e révision, publiée par l’Organisation Mondiale de la Santé [OMS], p. 174), cette catégorie doit être utilisée pour noter la présence de facteurs psychologiques ou comportementaux supposés avoir joué un rôle majeur dans la survenue d'un trouble physique classé dans l'un des autres chapitres de la CIM-10, les perturbations psychiques résultant de ces facteurs étant habituellement légères et souvent persistantes (par exemple une inquiétude, un conflit émotionnel ou une appréhension), et ne justifiant pas un diagnostic de l'un des troubles décrits dans le chapitre V.</w:t>
      </w:r>
    </w:p>
    <w:p>
      <w:r>
        <w:t>- 26 - L'expertise ne permet pas de savoir si ce diagnostic en tant que tel peut sur le plan médical entraîner une incapacité de travail ni dès lors si la jurisprudence relative aux troubles somatoformes est applicable. L'expert ne retient pas d'incapacité de travail sur le plan psychiatrique et estime le pronostic positif compte tenu d'une amélioration. Le Dr N.________, psychiatre également, ne retient pas ce diagnostic ni celui classé sous F54 dans la CIM-10. En revanche, il retient le diagnostic d'état dépressif sévère, ayant constaté une humeur dépressive, des troubles du sommeil une anhédonie, la perte d'élan vital ainsi que des douleurs et ne constate pas d'amélioration. Dans leur avis du 28 août 2014, les Drs V.________ et D.________, qui déclarent se référer à l'expertise du Dr W.________, mentionnent le diagnostic de fibromyalgie qui est un diagnostic somatique. Quant au Dr M.________ et au Dr K.________, ils mentionnent un état dépressif réactionnel. Au vu de ces avis divergents, du manque de précision de l'expertise, il n'est pas possible de savoir quel diagnostic doit être retenu sur le plan psychiatrique ni bien évidemment si celui-ci a une incidence sur la capacité de travail du recourant. b) Sur le plan somatique, le Dr Q.________ a posé les diagnostics de rachialgies chroniques sur sérieux troubles statiques sur le plan sagittal avec troubles dégénératifs étagés marqués (notamment à l'étage dorsal, en L2-L3 et L4-L5). Il estime que le recourant a une capacité de travail complète dans une activité adaptée. Le Dr K.________ estime également que le recourant peut travailler dans une activité adaptée à partir de trois mois dès la fin de la prise en charge par l'Unité de Réhabilitation du DAL (Département de l’appareil locomoteur), à savoir depuis décembre 2014, en évitant des ports de charges dépassant 5-10 kg, dans une activité plutôt administrative, voire une activité en usine où le patient peut alterner les postures assis/debout et ne dépassant pas les vingt minutes. Le Dr M.________ retient quant à lui une capacité de travail de 50%, relevant dans son rapport du 5 novembre 2014 qu'une activité adaptée à plein temps dans l'immédiat et dans les prochains mois n'est pas possible, l'évaluation par l'Hôpital Orthopédique ayant mis en</w:t>
      </w:r>
    </w:p>
    <w:p>
      <w:r>
        <w:t>- 27 - évidence qu'il persistait des douleurs et des limitations physiques dans les mouvements de tous les jours. Toutefois, ces médecins ne se prononcent pas sur la capacité de travail du recourant. L'appréciation du Dr M.________ apparaît insuffisamment motivée et ne saurait mettre en doute les conclusions du Dr Q.________ quant à l'influence des troubles somatiques uniquement sur la capacité de travail, ceci à la date de l'expertise. c) Il y a lieu de relever en outre que l'assureur perte de gain a ordonné deux expertises, l'une sur le plan psychiatrique, l'autre sur le plan somatique. Dès lors, une analyse complète et détaillée des interactions entre les différents diagnostics établis ayant des incidences sur les capacités fonctionnelles du recourant et l'appréciation de ces diagnostics faite lors de l’évaluation finale des experts n'a pas été effectuée.</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w:t>
      </w:r>
    </w:p>
    <w:p>
      <w:r>
        <w:t>- 28 - probante suffisante sur des points décisifs (cf. ATF 137 V 210 consid. 4.4.1.4 et 4.4.1.5). b) En l’occurrence, au vu des contradictions en cause et des lacunes d’instruction, au plan psychiatrique notamment, il s’avère que les faits pertinents n’ont pas été constatés de manière complète, ni l’état de santé du recourant dans sa globalité, ni les conséquences de cet état de santé sur sa capacité de travail résiduelle n’ayant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par la mise en œuvre d’une expertise pluridisciplinaire, notamment sur les plans psychiatrique et rhumatologique - pour tenir compte sur ce dernier plan de l'évolution de l'état de santé du recourant depuis l'expertise du Dr Q.________ - (cf. art. 44 LPGA), compte tenu le cas échéant de la nouvelle jurisprudence relative aux troubles somatoformes (ATF 141 V 281).</w:t>
      </w:r>
    </w:p>
    <w:p>
      <w:r>
        <w:rPr>
          <w:b/>
        </w:rPr>
        <w:t>E. 8</w:t>
      </w:r>
    </w:p>
    <w:p>
      <w:r>
        <w:t>a) Il découle de ce qui précède que le recours doit être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d’arrêt à 400 fr. et de les mettre à charge de l’OAI, qui succombe. c) Le recourant, qui obtient gain de cause avec l’assistance d’un mandataire professionnel, a droit à des dépens (art. 61 let. g LPGA), qu’il convient d’arrêter à 2'000 fr. TVA comprise, au regard de</w:t>
      </w:r>
    </w:p>
    <w:p>
      <w:r>
        <w:t>- 29 - l’importance et des difficultés de la cause,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