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ZD15.030143 vom 12. Mai 2016</w:t>
      </w:r>
    </w:p>
    <w:p>
      <w:r>
        <w:t>VD Tribunal cantonal, 2016-05-12, FR</w:t>
      </w:r>
    </w:p>
    <w:p>
      <w:r>
        <w:rPr>
          <w:b/>
        </w:rPr>
        <w:t xml:space="preserve">Quelle: </w:t>
      </w:r>
      <w:r>
        <w:t>https://mcp.opencaselaw.ch/entscheid/vd_gerichte_ZD15.030143</w:t>
      </w:r>
    </w:p>
    <w:p>
      <w:r>
        <w:t>FR: VD_GERICHTE ZD15.030143 du 12 mai 2016</w:t>
      </w:r>
    </w:p>
    <w:p>
      <w:r>
        <w:t>IT: VD_GERICHTE ZD15.030143 del 12 maggio 2016</w:t>
      </w:r>
    </w:p>
    <w:p>
      <w:pPr>
        <w:pStyle w:val="Heading2"/>
      </w:pPr>
      <w:r>
        <w:t>Erwägungen</w:t>
      </w:r>
    </w:p>
    <w:p>
      <w:r>
        <w:rPr>
          <w:b/>
        </w:rPr>
        <w:t>E. 18</w:t>
      </w:r>
    </w:p>
    <w:p>
      <w:r>
        <w:t>avril 1999; RS 101] ; SVR 2001 IV n° 10 p. 28 consid. 4b ; ATF 124 V 90 consid. 4b ; 122 V 157 consid. 1d et référence citée). 5. S’agissant du volet médical de ce dossier, soit de l’estimation de la capacité de travail de la recourante, celle-ci a fait l’objet d’un examen médical approfondi sur le plan somatique par le Dr P.________ en date du 7 avril 2014. a) Aux termes du rapport corrélatif du 15 avril 2014, l’expert a procédé à des investigations extrêmement minutieuses et fouillées de l’état de santé objectif de la recourante, sans manquer de détailler les éléments pertinents de son anamnèse et de relever exhaustivement les plaintes alléguées. Il a en particulier opéré une analyse complète des différentes pièces médicales et avis spécialisés versés au dossier de l’assurée. Il a par ailleurs discuté l’ensemble des diagnostics retenus ou évoqués dans son cas, se prononçant sur l’impact éventuel de son obésité et relatant ses observations quant à son état de santé psychologique, avant de communiquer ses conclusions. Ces dernières, pour le moins étayées, apparaissent tout à fait convaincantes compte tenu des observations cliniques consignées par l’expert. En outre, il a énoncé exhaustivement les limitations fonctionnelles devant être prises en considération in casu au vu de l’état de santé global de l’assurée.</w:t>
      </w:r>
    </w:p>
    <w:p>
      <w:r>
        <w:t>- 25 - Partant, force est de constater que le rapport d’expertise rédigé par le Dr P.________ s’avère complet et remplit à l’évidence les réquisits jurisprudentiels rappelés supra sous considérant 4b pour se voir accorder pleine valeur probante. Au demeurant, on remarquera que les conclusions du Dr P.________ en lien avec la capacité de travail résiduelle de la recourante ont pour l’essentiel été corroborées par l’observation professionnelle diligentée au sein du Centre R.________, ainsi que par le médecin-conseil dudit centre, le Dr S.________. Ce dernier a en effet conclut à une capacité de travail de 50%, à l’instar de l’expert, le rendement réduit observé dans le cas de la recourante s’expliquant dans une large mesure par son absence de motivation à la reprise effective d’une activité lucrative (cf. rapport de synthèse finale du 22 décembre 2014 et rapport du médecin- conseil précité du 10 décembre 2014). b) Par ailleurs, quoi qu’en dise la recourante, on ne voit pas sérieusement que ses médecins traitants eussent douté de sa capacité à exercer une activité lucrative à temps partiel compte tenu d’éléments médicaux objectifs. ba) En particulier, le Dr L.________ a expressément admis, à l’issue de ses différents rapports à l’OAI, que sa patiente était susceptible de reprendre un horaire de travail réduit, soit « quelques heures de travail quotidien », soulignant que sa capacité de travail devait être évaluée précisément (cf. rapports du Dr L.________ des</w:t>
      </w:r>
    </w:p>
    <w:p>
      <w:r>
        <w:rPr>
          <w:b/>
        </w:rPr>
        <w:t>E. 20</w:t>
      </w:r>
    </w:p>
    <w:p>
      <w:r>
        <w:t>juin 2012 et 20 août 2013). Quant à la Dresse D.________, elle a relayé les propos de sa patiente relatifs à la reprise d’une activité, dans son rapport du 24 juin 2012, en indiquant que celle-ci « ne se sent[ait] pas en mesure de travailler ». bb) Les doutes exprimés subséquemment par le Dr L.________, à savoir dans son rapport du 6 octobre 2015, ont surtout trait à l’impact de</w:t>
      </w:r>
    </w:p>
    <w:p>
      <w:r>
        <w:t>- 26 - l’obésité morbide dont souffre la recourante, raison pour laquelle il a considéré qu’une reprise d’activité ne serait « pas raisonnable », bien que théoriquement possible. Il a cependant envisagé une prise en charge spécifique de cette problématique au dernier paragraphe de ce même rapport. Dans la mesure où l’obésité de l’assurée n’apparaît pas la cause ou la conséquence d’une atteinte à la santé particulière et qu’elle est susceptible de s’amender par des mesures adéquates, on ne saurait retenir que cette problématique ait valeur d’invalidité, compte tenu de la jurisprudence citée sous considérant 4d ci-avant. Il n’y a pas davantage lieu de s’écarter de l’appréciation du Dr P.________ à cet égard, ce dernier ayant de toute façon tenu compte de l’état global de la recourante et s’étant largement exprimé sur l’influence de l’obésité en l’occurrence. bc) S’agissant d’une possible « dépression » affectant l’assurée, le Dr L.________ s’est limité, dans son rapport du 6 octobre 2015, à mentionner cette affection, en reprenant vraisemblablement les allégations de sa patiente, sans explication complémentaire, ni exposé des symptômes, de sorte qu’on ne peut lui accorder une quelconque valeur diagnostique à ce stade. La Dresse D.________ a quant à elle relaté un « état dépressif modéré », le qualifiant de diagnostic sans impact sur la capacité de travail (cf. rapport de cette praticienne du 24 juin 2012). Ce n’est qu’ultérieurement, en réponse à un questionnaire du mandataire de l’assurée le 28 avril 2015, qu’elle a estimé que l’aspect psychique du dossier médical de l’assurée aurait été sous-évalué. Cela étant, elle ne fait état d’aucun des critères ou symptômes susceptibles d’attester un diagnostic de trouble dépressif ou d’état dépressif, sa patiente ne bénéficiant au surplus d’aucun suivi spécialisé de ce fait.</w:t>
      </w:r>
    </w:p>
    <w:p>
      <w:r>
        <w:t>- 27 - On ne voit pas de toute façon pas que cet aspect ait été ignoré du Dr P.________ à l’occasion de son expertise, puisque ce dernier a consigné ses constats sur le plan psychologique et rapporté un traitement antidépresseur mis en place depuis de longues années en l’absence de toute prise en charge psychiatrique. c) Compte tenu de ce qui précède, il convient de se fonder sur l’analyse du Dr P.________, telle que ressortant de son rapport d’expertise du 15 avril 2014, pour déduire, à l’instar de l’intimé, que la recourante est effectivement dotée d’une capacité de travail résiduelle de 50% dans une activité respectant ses limitations fonctionnelles, décrites à satisfaction par le Dr P.________ et confirmées au terme du stage d’observation professionnelle. On ajoutera qu’une diminution de rendement n’entre pas en ligne de compte dans le cas particulier, dans la mesure où ce constat a davantage trait à la motivation défaillante de l’assurée qu’à une incapacité objective (cf. rapport du Dr S.________ du 10 décembre 2014 et rapport de synthèse finale du Centre R.________ du 22 décembre 2014). Il faut par ailleurs considérer que la mise en œuvre d’une expertise pluridisciplinaire, telle qu’envisagée par la recourante, s’avère manifestement superflue, l’OAI ayant procédé à l’ensemble des investigations utiles en recueillant exhaustivement les informations récentes disponibles auprès des médecins en charge de l’assurée et en diligentant une expertise de médecine interne. Il n’apparaît au surplus pas qu’une expertise complémentaire soit de nature à apporter un éclairage nouveau ou différent des problèmes de santé objectivement décelés auprès de la recourante, ni de leurs conséquences. La conclusion de l’assurée à cet égard ne peut donc qu’être rejetée par le biais d’une appréciation anticipée des preuves.</w:t>
      </w:r>
    </w:p>
    <w:p>
      <w:r>
        <w:t>- 28 - 6. Doit à ce stade être examiné l’aspect économique de la situation de la recourante, à savoir le degré d’invalidité déterminé par l’intimé. a)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(cf. art. 28a al. 1 LAI en corrélation avec l'art. 16 LPGA ; ATF 130 V 343 consid. 3.4), méthode spécifique pour un assuré sans activité lucrative (cf. art. 28a al. 2 LAI ; ATF 130 V 97 consid. 3.3.1) et méthode mixte pour un assuré exerçant une activité lucrative à temps partiel (cf. art. 28a al. 3 LAI ; ATF 137 V 334 ; 130 V 393 et 125 V 146). aa) Conformément à l’art. 28a al. 1 LAI, l'art. 16 LPGA s’applique à l’évaluation des assurés qui, sans atteinte à la santé, exerceraient une activité lucrative à temps complet ;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ab) Selon l’art. 28a al. 2 LAI, l’invalidité de l’assuré qui n’exerce pas d’activité lucrative et dont on ne peut raisonnablement exiger qu’il en entreprenne une est évaluée, en dérogation à l’art. 16 LPGA, en fonction de son incapacité à accomplir ses travaux habituels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de l'assurance-</w:t>
      </w:r>
    </w:p>
    <w:p>
      <w:r>
        <w:t>- 29 - invalidité (CIIAI) – pratique dont le Tribunal fédéral a admis la conformité (TF 9C_467/2007 du 19 mars 2008 consid. 3.3).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9C_693/2007 du 2 juillet 2008 consid. 3). On précisera que les empêchements de la personne assurée doivent être évalués en tenant compte de l'aide que l'on peut exiger des proches au titre de l'obligation de réduire le dommage (ATF 130 V 97 consid. 3.2 ; TF I 561/06 du 26 juillet 2007 consid. 5.2.1). ac)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(cf. art. 28a al. 3 LAI). L'invalidité totale de la personne assurée résultera de l'addition des taux d'invalidité pondérés dans les deux domaines (ATF 130 V 393 consid. 3.3 et 125 V 146).</w:t>
      </w:r>
    </w:p>
    <w:p>
      <w:r>
        <w:t>- 30 - ad) La réponse apportée à la question de savoir à quel taux d'activité la personne assurée travaillerait sans atteinte à la santé dépend de l'ensemble des circonstances personnelles, familiales, sociales, financières et professionnelles (cf. ATF 130 V 393 consid. 3.3 et les arrêts cités). Cette évaluation doit également prendre en considération la volonté hypothétique de l'assuré qui en tant que fait interne ne peut faire l'objet d'une administration directe de la preuve et doit en règle générale être déduite d'indices extérieurs (TF 9C_64/2012 du 11 juillet 2012 consid. 5.2 in fine et la référence citée). b) In casu, ainsi que l’a concédé l’OAI dans sa réponse au recours du 14 septembre 2015, il convient de considérer que l’assurée revêt un statut mixte, dans la mesure où sans atteinte à la santé, elle se serait consacrée uniquement à temps partiel à l’exercice d’une activité lucrative, la partie la plus importante de son temps étant dévolue à l’accomplissement des tâches ménagères. On peut en effet considérer au degré de la vraisemblance prépondérante que l’assurée aurait poursuivi les relations de travail avec la C.________, son temps de travail en qualité d’aide-concierge ascendant en fait à 45% dans cette activité, soit 3,8 heures par jour. Etant souligné que la recourante n’a pas démontré avoir recherché une seconde activité lucrative en vue de réaliser un revenu complétant celui alloué par la C.________ ou avoir tenté d’augmenter son temps de travail auprès de cet employeur, il faut en déduire qu’elle s’est contentée de l’exercice d’une activité lucrative au taux de 45%. Ce constat vaut à tout le moins depuis l’année 2009, soit avant la survenance de ses problèmes de santé actuels, selon l’extrait du compte individuel AVS versé à son dossier. Partant, il n’y a pas lieu de prendre en considération l’exercice d’une activité lucrative arrondie à 50%, en dépit des conclusions de l’enquêtrice de l’OAI à ce propos (cf. rapport d’enquête économique sur le ménage du 31 mai 2013, p. 2).</w:t>
      </w:r>
    </w:p>
    <w:p>
      <w:r>
        <w:t>- 31 - Il convient bien plutôt de se fonder sur une répartition du temps de travail, à concurrence de 45% pour la sphère lucrative et 55% pour la sphère ménagère. c) S’agissant du degré d’invalidité dans l’accomplissement des tâches habituelles, l’enquêtrice de l’OAI a relaté des empêchements dans cinq champs d’activités pour mettre à jour un taux d’invalidité de 45,3%, valable dans la sphère strictement ménagère. Elle s’est ce faisant basée sur les déclarations de l’assurée en tenant compte de l’aide exigible de son époux, lequel fait ménage commun avec la recourante. Les limitations fonctionnelles justifiant les empêchements relatés correspondent par ailleurs à celles établies par le Dr P.________ dans le rapport d’expertise du 15 avril 2014. Dès lors, le rapport d’enquête économique sur le ménage du 31 mai 2013 – que les parties n’ont au demeurant ni discuté ni contesté – peut être qualifié de conforme aux exigences jurisprudentielles citées sous considérant 6a/ab ci-avant pour ce qui est de la détermination des empêchements rencontrés dans l’accomplissement des tâches correspondantes. Il s’agit ainsi de tenir compte d’une invalidité de 45,3% dans la sphère d’activité ménagère. 7. Reste désormais à vérifier la comparaison des revenus effectuée par l’OAI pour la sphère d’activité professionnelle, avant d’appliquer la méthode mixte d’évaluation de l’invalidité au cas particulier. a)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w:t>
      </w:r>
    </w:p>
    <w:p>
      <w:r>
        <w:t>- 32 - revenus ; cf. ATF 128 V 29 consid. 1 ; TF 9C_195/2010 du 16 août 2010 consid. 6.2). Pour procéder à la comparaison des revenus, il convient de se placer au moment de la naissance du droit éventuel à la rente (ATF 129 V 222 consid. 4.2.1 ; TF 9C_254/2010 du 29 octobre 2010 consid. 4.2) ou à la date de survenance d’un motif de révision (TF 9C_181/2008 du 23 octobre 2008 consid. 4). b)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jusqu’à la date déterminante pour l’évaluation (cf. ATF 129 V 222 consid. 4.3.1). Dans le cas particulier, l’année déterminante pour l’évaluation de l’invalidité est l’année 2012, à l’issue du délai de carence d’un an débuté en septembre 2011. L’employeur de la recourante a indiqué dans le rapport complété à cet effet en date du 30 avril 2012, que l’assurée aurait réalisé un revenu de 33'306 fr. dans son activité d’aide-concierge exercée à 45%. Ce montant concret, qui n’est pas remis en question par la recourante, peut être retenu au titre de revenu sans invalidité déterminant pour le calcul. c) Le revenu d’invalide doit être également évalué avant tout en fonction de la situation professionnelle concrète de la personne assurée. Lorsque l’activité exercée après la survenance de l’atteinte à la santé repose sur des rapports de travail particulièrement stables, qu’elle</w:t>
      </w:r>
    </w:p>
    <w:p>
      <w:r>
        <w:t>- 33 -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publiée par l’OFS ou sur les données salariales ressortant aux descriptifs des postes de travail ([DPT] ; ATF 129 V 472 consid. 4.2.1 ; 126 V 76 consid. 3a/bb ; 124 V 323 consid. 3b/bb ; TF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p. 79 ;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w:t>
      </w:r>
    </w:p>
    <w:p>
      <w:r>
        <w:t>- 34 -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 Le salaire de référence ressortant de l’ESS est in casu celui auquel peuvent prétendre les femmes effectuant des activités simples et répétitives dans le secteur privé (production et services) en 2012, soit 4’112 fr. par mois, part au 13ème salaire comprise (ESS 2012, TA1, niveau de qualification 1, sans formation requise). Au regard du large éventail d'activités simples et répétitives que recouvrent les secteurs de la production et des services, on peut retenir qu'un certain nombre d'entre elles sont légères et adaptées aux restrictions fonctionnelles présentées par l’assurée. Ce constat rend superflu de définir précisément des activités adaptées, quand bien même on peut noter que celles mentionnées dans le rapport du spécialiste en réinsertion professionnelle de l’OAI du 6 janvier 2015 paraissent correspondre au potentiel de l’assurée. Comme les salaires bruts standardisés tiennent compte d’un horaire de travail de quarante heures, soit une durée hebdomadaire inférieure à la moyenne usuelle dans les entreprises en 2012 (41,7 heures ; cf. OFS / La Vie économique, n°1/2-2014, tableau B 9.2), le revenu mensuel doit être majoré à 4'287 fr. (4’112 fr. x 41,7 / 40), ce qui met à jour un salaire annuel de 51’441 francs. La recourante étant en mesure d’exploiter une capacité de travail de 50% dans une activité adaptée dès janvier 2012, son salaire</w:t>
      </w:r>
    </w:p>
    <w:p>
      <w:r>
        <w:t>- 35 - d’invalide s’élèverait en définitive à 23’149 fr. pour la mise à profit de cette capacité dans une activité limitée à un temps de travail de 45%. Il se justifie en outre de procéder à une réduction supplémentaire des salaires statistiques. Un abattement maximal de 15%, tel que fixé par l’OAI, paraît approprié pour compenser l’âge de l’assurée et le fait que seule une activité légère reste à sa portée. Les autres critères dégagés par la jurisprudence fédérale dans ce cadre n’ont manifestement pas lieu d’être pris en considération. Déduction faite, le revenu annuel d’invalide déterminant s’élève ainsi à 19’676 fr. pour un temps de travail de 45%. d) Etant donné les revenus fixés ci-avant, l’incapacité de gain se monte dès janvier 2012 à 40,7% ([33’206 fr. – 19’676 fr.] x 100 / 33’206 fr.). 8. En application de la méthode mixte d’invalidité conformément à l’art. 28a al. 3 LAI, le degré d’invalidité de la recourante peut en définitive être détaillé comme suit : Sphère d’activité Temps consacré Empêchement Invalidité en % en % en % Activité lucrative 45% 40.7% 18.3% Activité ménagère 55% 45.3% 24.9% TOTAL = taux d’invalidité global 43.2% Il s’ensuit que le recours doit être partiellement admis et la décision attaquée réformée en ce sens que la recourante a droit à un quart de rente d’invalidité, compte tenu d’un degré d’invalidité arrondi à 43% (cf. ATF 130 V 121 consid. 3.2). Cette prestation pourra être versée dès le 1er octobre 2012, soit à l’échéance du délai de six mois dès le dépôt de la demande de prestations AI en date du 5 avril 2012, tel que prévu par l’art. 29 al. 1 LAI, tandis que le délai de carence d’un an consacré par l’art. 28 al. 1, let. b, LAI est quant à lui échu dès le 27 septembre 2012.</w:t>
      </w:r>
    </w:p>
    <w:p>
      <w:r>
        <w:t>- 36 - 9.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ces frais à 400 fr. et de les mettre à charge de l'OAI. b) Obtenant partiellement gain de cause, la recourante, assistée d'un mandataire professionnel, a par ailleurs droit à des dépens, fixés in casu, d’après l’importance et la complexité du litige, à 1’500 fr. (art. 61 let. g LPGA ; 55 al. 1 LPA-VD et 7 TFJDA [tarif du 28 avril 2015 des frais judiciaires et des dépens en matière administrative ; RSV 173.36.5.1]).</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