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ZD15.027676 vom 10. Oktober 2016</w:t>
      </w:r>
    </w:p>
    <w:p>
      <w:r>
        <w:t>VD Tribunal cantonal, 2016-10-10, FR</w:t>
      </w:r>
    </w:p>
    <w:p>
      <w:r>
        <w:rPr>
          <w:b/>
        </w:rPr>
        <w:t xml:space="preserve">Quelle: </w:t>
      </w:r>
      <w:r>
        <w:t>https://mcp.opencaselaw.ch/entscheid/vd_gerichte_ZD15.027676</w:t>
      </w:r>
    </w:p>
    <w:p>
      <w:r>
        <w:t>FR: VD_GERICHTE ZD15.027676 du 10 octobre 2016</w:t>
      </w:r>
    </w:p>
    <w:p>
      <w:r>
        <w:t>IT: VD_GERICHTE ZD15.027676 del 10 ottobre 2016</w:t>
      </w:r>
    </w:p>
    <w:p>
      <w:pPr>
        <w:pStyle w:val="Heading2"/>
      </w:pPr>
      <w:r>
        <w:t>Erwägungen</w:t>
      </w:r>
    </w:p>
    <w:p>
      <w:r>
        <w:rPr>
          <w:b/>
        </w:rPr>
        <w:t>E. 19</w:t>
      </w:r>
    </w:p>
    <w:p>
      <w:r>
        <w:t>mars 2015 par production des certificats médicaux corrélatifs. Par pli du 28 avril 2015, l’assurée a contesté formellement le projet de décision du 10 octobre 2014, singulièrement les conclusions de l’expertise réalisée par le Dr T.________, dont l’objectivité et l’impartialité devaient à son avis être mises en doute, au vu de certaines remarques qualifiées de « désobligeantes, tendancieuses et sans aucune pertinence avec l’examen demandé ». Elle a communiqué à l’OAI son intention de diligenter une expertise privée et suggéré à ce dernier de surseoir à l’émission de sa décision jusqu’à ce que le rapport correspondant fût disponible. L’OAI a rendu sa décision le 1er juin 2015, reprenant les termes du projet de décision querellé et niant le droit à la rente de l’assurée. Dans un courrier d’accompagnement du même jour, il a ajouté que le contenu du rapport rédigé par le Dr T.________ ne permettait de relever aucune apparence de prévention de l’expert qu’il n’y avait donc pas lieu de récuser a posteriori. Il a considéré que ce document pouvait se voir conférer pleine valeur probante. E. L’assurée, avec le concours de son avocat, a déféré la décision du 1er juin 2015 à la Cour des assurances sociales du Tribunal cantonal par mémoire de recours du 2 juillet 2015, concluant principalement à sa réforme et à l’octroi d’une rente entière d’invalidité « dès le mois de décembre 2012 », subsidiairement à son annulation et au renvoi de la cause à l’OAI pour instruction complémentaire. Elle a réitéré que le Dr T.________ avait manqué d’objectivité et d’impartialité dans la rédaction de son rapport, tandis qu’il n’avait pas pris en compte à satisfaction les plaintes et douleurs alléguées. Contestant l’appréciation de sa capacité de travail, elle a fait valoir que les douleurs affectant le rachis cervical et</w:t>
      </w:r>
    </w:p>
    <w:p>
      <w:r>
        <w:t>- 10 - thoracique, ainsi que le visage, l’épaule droite et le flanc droit, entravaient la reprise d’une quelconque activité lucrative. En outre, elle a requis préalablement la suspension de la cause dans l’attente d’un rapport d’expertise privée, laquelle avait été confiée au Dr S.________, chef de clinique au sein du Département de l’appareil locomoteur du Centre hospitalier R.________. Le 9 juillet 2015, la recourante a informé la Cour de céans de sa convocation par l’expert privé à la date du 5 novembre 2015. La magistrate instructrice a établi une décision incidente le 31 août 2015 prononçant la suspension de la cause jusqu’au 31 janvier 2016, vu le mandat en cours auprès du Dr S.________. La suspension a été prolongée jusqu’au 9 mars 2016 à la requête de la recourante du 28 janvier 2016, cette dernière ayant confirmé la réception du rapport d’expertise privée, daté du 7 décembre 2015, sans toutefois avoir pu en prendre connaissance. En date du 7 mars 2016, la recourante a produit, en annexe à un mémoire complémentaire, un tirage du rapport du Dr S.________ du 7 décembre 2015, accompagné notamment d’une évaluation des capacités fonctionnelles. A l’issue de l’analyse du dossier, d’un examen clinique et de la passation de différents tests, le Dr S.________ a retenu les diagnostics suivants : • Fibromyalgie. • Cervicoscapulalgies D [réd. : droites] chroniques dans le cadre de o Discopathie C5-C6 avec rétrécissement foraminal D o Déconditionnement physique o Kinésiophobie • Lombalgies chroniques o Discopathies lombaires basses • Probable état anxieux. Il a précisé ce qui suit, au titre de discussion globale et appréciation du cas :</w:t>
      </w:r>
    </w:p>
    <w:p>
      <w:r>
        <w:t>- 11 - « Cette personne en bon état général est victime d’une chute dans un tram le 22.12.2011, décompensant un tableau douloureux. D’abord c’est principalement dans la région cervicobrachiale que les symptômes sont présents avant de déborder plus largement. Toutes les différentes approches tentées échouent pour aider [l’assurée] à affronter ces douleurs, avec comme conséquences des douleurs l’apparition d’un évitement – kinésiophobie (comme le démontre le questionnaire de Tampa). Actuellement, nous n’avons pas de syndrome irritatif, mais plutôt des douleurs diffuses, correspondant à la fibromyalgie. Ce sont ces douleurs qui la handicapent le plus, même si son activité de bureau pourrait se faire, comme le relève l’évaluation des capacités fonctionnelles. A ces douleurs se surajoute un état anxieux bien présent qui ne l’aide pas. Pour cette raison, il me semble judicieux de demander une expertise sur le plan psychiatrique en plus. » S’agissant de la capacité de travail de la recourante, le Dr S.________ a estimé que cette dernière était en mesure d’exercer une activité de secrétariat ou d’aide de bureau, tandis qu’une « formation supplémentaire en français pour le secrétariat lui serait d’une grande aide ». Il a ajouté qu’il était « nécessaire de proposer en situation de cumul des contraintes physiques une légère réduction de la capacité de travail sous la forme d’une diminution du temps de présence et sous la forme d’une augmentation du nombre de pauses quotidiennes », équivalant à une diminution de rendement de 25%. Il a réitéré l’opportunité de procéder à une expertise psychiatrique en raison de l’état anxieux relevé lors d’un test spécifique, ainsi que durant son examen clinique. Était enfin annexée à son rapport complet la facture corrélative d’un montant de 8'608 fr. 80. Aux termes de son mémoire complémentaire du 7 mars 2016, la recourante a souligné que l’expertise du Dr S.________ remplissait à son sens les critères requis pour être qualifiée de probante, contrairement à celle du Dr T.________, considérée comme incomplète et entachée de partialité. Elle a relevé que l’absence de toute investigation de son état de santé psychique justifiait le renvoi de la cause à l’intimé. Elle a par ailleurs fait grief à ce dernier de ne pas avoir procédé à une comparaison des revenus dans la décision entreprise, tandis que le contexte de son activité habituelle auprès de L.________ n’avait pas été examiné. Exposant ne pas avoir la possibilité et les compétences – notamment linguistiques – de</w:t>
      </w:r>
    </w:p>
    <w:p>
      <w:r>
        <w:t>- 12 - retrouver un emploi administratif par ses propres moyens, elle a requis la mise en œuvre de mesures professionnelles adaptées à sa situation. Enfin, s’agissant des frais encourus, elle a requis que ceux afférents à l’expertise réalisée par le Dr S.________ soient portés à la charge de l’OAI, estimant que ce dernier avait violé son obligation d’instruire son cas à satisfaction, qui plus est sans lui laisser l’opportunité de produite le rapport d’expertise privée, ce qui l’avait contrainte à saisir la Cour de céans. L’intimé a produit sa réponse au recours le 19 avril 2016, en proposant le rejet. Il a fait valoir que l’exigibilité déterminée par le Dr S.________, ainsi que les limitations fonctionnelles décrites, rejoignaient l’appréciation du Dr T.________. Aucun des médecins ayant assumé le suivi de la recourante n’avaient évoqué de problématique psychique dans son cas, de sorte qu’il n’y avait pas lieu de compléter l’instruction de la situation. Quant au volet économique, l’OAI a maintenu que les compétences et le parcours professionnel de l’assurée lui ouvraient l’accès à des activités d’employée administrative, alors qu’elle avait en sus bénéficié d’une mise à jour dans le secteur informatique dans le cadre de l’intervention précoce. L’assurée aurait au demeurant de toute façon dû rechercher une activité auprès d’un nouvel employeur vu le départ de L.________ pour l’étranger. La comparaison des revenus, implicitement évoquée dans la décision litigieuse et aboutissant à un degré d’invalidité nul, devait donc être maintenue. La recourante a renoncé à se déterminer plus avant et maintenu ses conclusions par écriture du 13 juin 2016. La juge instructrice a informé les parties le 25 juillet 2016 que la cause était en l’état d’être jugée, éventuellement sous l’angle de la récente jurisprudence fédérale relative aux troubles somatoformes douloureux.</w:t>
      </w:r>
    </w:p>
    <w:p>
      <w:r>
        <w:t>- 13 - L’intimé a indiqué le 3 août 2016 ne pas avoir de commentaire particulier à formuler, tandis que l’assurée en a fait de même par pli du 29 août 2016. Les faits seront au surplus repris en tant que de besoin dans le développement juridique infra.</w:t>
      </w:r>
    </w:p>
    <w:p>
      <w:r>
        <w:t>- 14 -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 juillet 2015, complété le 7 mars 2016, contre la décision de l’OAI du 1er juin 2015 a été interjeté en temps utile. Les formalités prévues par la loi, au sens notamment de l’art.</w:t>
      </w:r>
    </w:p>
    <w:p>
      <w:r>
        <w:t>- 15 - 61 let. b LPGA, ont été par ailleurs respectées. Le recours est en conséquence recevable de sorte qu’il y a lieu d’entrer en matière sur le fond.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In casu, le litige est circonscrit par la décision de refus de rente d’invalidité rendue par l’intimé le 1er juin 2015. Par cette décision,</w:t>
      </w:r>
    </w:p>
    <w:p>
      <w:r>
        <w:t>- 16 - l’OAI a estimé que la recourante présentait un degré d’invalidité nul, au vu d’une capacité de travail entière dans une activité adaptée, y inclus dans l’activité habituelle d’aide de bureau, telle que déterminée par l’expert mandaté en procédure administrative. Elle ne pouvait en conséquence prétendre une rente de l’AI. L’assurée conteste pour sa part cette appréciation de sa capacité de travail sur la base du rapport rédigé par le Dr T.________, qu’elle considère dénué de toute valeur probante en raison – à son avis – du manque d’objectivité et d’impartialité de ce dernier. Elle estime en revanche que pleine valeur probante doit être conférée à l’expertise privée réalisée par le Dr S.________, soulignant que ce dernier a mis en évidence une problématique psychique n’ayant fait l’objet d’aucune investigation de la part de l’OAI. Elle conclut à la mise en œuvre d’un complément d’instruction, respectivement à l’octroi de prestations AI sous forme de rente et de mesures professionnelles après détermination précise de son degré d’invalidité. Dans ce contexte, l’OAI relève que les limitations fonctionnelles somatiques retenues par le Dr S.________ rejoignent celles énoncées par le Dr T.________, de sorte le degré d’invalidité implicitement fixé dans la décision entreprise devrait être confirmé. Il rappelle au surplus qu’aucune problématique d’ordre psychique n’a été alléguée par les médecins traitants de la recourante. Il conclut dès lors au rejet du recours. Préalablement à ses griefs d’ordre matériel, la recourante reproche à l’OAI d’avoir violé son droit d’être entendue en n’ayant pas sursis à l’émission de la décision du 1er juin 2015 jusqu’à la réalisation de l’expertise privée. Elle estime que ce vice devrait ipso facto entraîner l’annulation de ladite décision et justifie le renvoi de la cause à l’autorité administrative. Compte tenu des conclusions des parties, il s’agit en premier lieu d’examiner l’argument d’ordre formel relatif à la violation du droit d’être entendue de la recourante. A défaut d’une telle violation, il</w:t>
      </w:r>
    </w:p>
    <w:p>
      <w:r>
        <w:t>- 17 - conviendra de statuer en second lieu sur le bien-fondé éventuel de la décision précitée, eu égard au refus de rente d’invalidité prononcé par l’OAI, pour autant que les pièces médicales à disposition permette de statuer sur le droit litigieux. On relèvera enfin que le droit à des mesures professionnelles, désormais revendiqué par la recourante, ne fait en revanche pas partie de l’objet de la contestation, puisque la décision entreprise ne statue pas expressément sur cette question. 3. Sur le plan formel, la recourante se plaint d’une violation de son droit d’être entendue, au motif que l’intimé a statué sans attendre le rapport d’expertise privée rédigé par le Dr S.________. a) L'art. 29 al. 2 Cst. (Constitution fédérale de la Confédération suisse du 18 avril 1999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TF 9C_699/2009 du 24 février 2010 consid. 2.2). La jurisprudence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 ATF 137 V 210 consid. 3.4.2.6 et 3.4.2.9 ; TF 9C_933/2012 du 16 avril 2013 consid. 3.2). S'agissant d'une garantie constitutionnelle de caractère formel, la violation du droit d'être entendu doit en principe entraîner l'annulation de la décision attaquée indépendamment des chances de succès du recourant sur le fond</w:t>
      </w:r>
    </w:p>
    <w:p>
      <w:r>
        <w:t>- 18 - (ATF 127 V 437 consid 3d/aa ;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b) En l’occurrence, la recourante a sollicité plusieurs prolongations de délai pour faire valoir ses objections à l’encontre du projet de décision du 10 octobre 2014, compte tenu de sa grossesse difficile. Dans le cadre de ses objections, finalement déposées le 28 avril 2015, elle a clairement signifié à l’OAI qu’elle entendait se soumettre à une expertise privée, sans toutefois communiquer le nom de l’expert mandaté, ni le délai dans lequel le rapport corrélatif pouvait être espéré. On constate que l’intimé a certes patienté pour permettre à l’assurée de faire valoir ses arguments contre le projet de décision du 10 octobre 2014, mais n’a toutefois pas attendu le rapport d’expertise privée pour rendre sa décision formelle du 1er juin 2015. Il a en effet estimé que l’expertise réalisée par le Dr T.________ était suffisamment étayée pour trancher les droits de l’assurée, alors qu’il n’y avait aucun motif de récuser cet expert a posteriori. Compte tenu de la position de l’intimé en lien avec la teneur de l’expertise du Dr T.________ et du peu de précisions communiquées par l’assurée quant à la délivrance effective d’un mandat d’expertise privée, on peut clairement douter que son droit d’être entendue ait été violé par l’intimé. Quoi qu’il en soit, cette question peut rester indécise au vu des considérants qui suivent et de l’issue du litige. Au demeurant, même si la violation du droit d’être entendue de l’assurée était reconnue, ce vice pourrait de toute façon être qualifié de réparé dans la mesure où la</w:t>
      </w:r>
    </w:p>
    <w:p>
      <w:r>
        <w:t>- 19 - recourante a pu produire le rapport d’expertise privée rédigé par le Dr S.________ dans le cadre de la présente procédure, la Cour de céans disposant d’un plein pouvoir d’examen pour trancher le droit litigieux. 4. Sur le fond, il s’agit de rappeler les dispositions légales relatives à la notion d’invalidité, la jurisprudence rendue en matière de troubles psychiques et de trouble somatoformes douloureux, ainsi que les règles régissant l’appréciation des pièces médicales.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t>- 20 -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w:t>
      </w:r>
    </w:p>
    <w:p>
      <w:r>
        <w:t>- 21 - 5.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a) Préalablement, on rappellera que le Tribunal fédéral (ATF 132 V 65 consid. 4.1) a jugé qu'en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 cf. pour la définition du trouble somatoforme douloureux CIM-10 :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(cf. Wolfgang Hausotter, Begutachtung somatoformer und funktioneller Störungen, 2ème éd. Urban et Fischer, Munich 2004 p. 119 ; Karl C. Mayer, Fibromyalgie-Stichworte zu einer Kontroverse, sous www.neuro24.de/fibromyalgie). Eu égard à ces caractéristiques communes et en l'état actuel des connaissances, il se justifie donc, sous l'angle juridique, d'appliquer par analogie les principes développés par la jurisprudence en matière de troubles somatoformes</w:t>
      </w:r>
    </w:p>
    <w:p>
      <w:r>
        <w:t>- 22 - douloureux lorsqu'il s'agit d'apprécier le caractère invalidant d'une fibromyalgie (ATF 132 V 65 consid. 4.1 ; TF 9C_877/2012 du 8 avril 2013 consid. 5.2). b)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w:t>
      </w:r>
    </w:p>
    <w:p>
      <w:r>
        <w:t>- 23 -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d)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et référence citée).</w:t>
      </w:r>
    </w:p>
    <w:p>
      <w:r>
        <w:t>- 24 -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référence citée). 6.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w:t>
      </w:r>
    </w:p>
    <w:p>
      <w:r>
        <w:t>- 25 -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w:t>
      </w:r>
    </w:p>
    <w:p>
      <w:r>
        <w:t>- 26 - 8C_862/2008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c) On rappellera par ailleurs brièvement que l'assuré peut soulever des motifs formels de récusation d’un expert, mais également des motifs matériels de récusation, soit tout motif pertinent au sens de l’art. 44 LPGA. Les motifs de récusation qui sont énoncés dans la loi (cf. art. 10 al. 1 PA [loi fédérale du 20 décembre 1968 sur la procédure administrative ; RS 172.021]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6.5 ; TF 9C_552/2014 du 26 novembre 2014 consid. 1.2).</w:t>
      </w:r>
    </w:p>
    <w:p>
      <w:r>
        <w:t>- 27 - Un expert donne l’apparence de la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et 125 II 541 consid. 4). Il n'y a pas de prévention inadmissible lorsque l'expert aboutit à des conclusions défavorables (à une partie) (cf. Susanne Bollinger/Ulrich Meyer/Margit Moser-Szeless, L'expertise médicale [en particulier psychiatrique], in : Douleur et Analgésie, vol. 24, août 2011, p. 34 ; cf. également Jacques Olivier Piguet, Le choix de l'expert et sa récusation, in : HAVE/REAS 2/2011 p. 133 ; TF 8C_578/2013 du 13 août 2014 consid. 5.1). 7. En l’espèce, l’OAI a fait procéder à une expertise de l’assurée, sur le plan exclusivement somatique. Elle a ainsi été examinée par Dr T.________, dont elle a contesté les conclusions communiquées le 22 juin 2014. Elle a fait valoir des griefs en lien avec une possible partialité de l’expert, ainsi qu’eu égard à la pertinence et l’exhaustivité de ses observations. Elle a par ailleurs fait procéder à une nouvelle expertise, également destinée à clarifier son état de santé somatique, auprès du Dr S.________, et attribue au rapport correspondant une pleine valeur probante. a) On ne peut se rallier à l’opinion de l’assurée en ce qu’elle considère que l’expert mandaté par l’intimé aurait manqué d’objectivité et fait preuve de partialité dans l’examen de sa situation. Les remarques de l’expert, relevées par l’assurée quant à son retard au rendez-vous fixé et à la mise en évidence de courriers de son avocat, sont des observations purement factuelles qui ne permettent pas d’exciper d’un quelconque a priori du Dr T.________ au détriment de la recourante. On ne voit aucun passage de l’expertise qui serait significatif d’une prévention de ce spécialiste, singulièrement qui pourrait être considéré comme inapproprié ou désobligeant. La recourante n’en cite au</w:t>
      </w:r>
    </w:p>
    <w:p>
      <w:r>
        <w:t>- 28 - demeurant aucun, tandis qu’elle ne peut tirer aucun argument du fait que les conclusions du Dr T.________ lui sont éventuellement défavorables du point de vue de son droit à des prestations AI. Vu la jurisprudence fédérale citée ci-dessus sous considérant 6c, on ne peut donc que rejeter les arguments de l’assurée quant à une possible prévention du Dr T.________ à son encontre. b) Quant à la teneur du rapport d’expertise de ce dernier, quoi qu’en dise la recourante, ce document satisfait aux réquisits jurisprudentiels permettant de lui conférer pleine valeur probante en ce qui concerne l’aspect somatique de son état de santé. Le rapport de ce spécialiste du 22 juin 2014 est en effet tout à fait complet, fondé sur une analyse minutieuse de l’ensemble des pièces du dossier et contient un compte-rendu des principaux éléments d’anamnèse, ainsi que des plaintes alléguées. Résultant d’investigations cliniques approfondies, ce rapport apparaît exempt de contradictions, de sorte que l’appréciation de la situation orthopédique de l’assurée, telle que communiquée par l’expert mandaté par l’intimé, peut d’emblée emporter la conviction. On peut ainsi douter a posteriori de l’opportunité de l’examen réalisé par le Dr S.________, dont le rapport du 7 décembre 2015 ne se distance d’ailleurs pas sensiblement des conclusions du Dr T.________. c) L’analyse opérée par l’expert mandaté par la recourante rejoint en effet substantiellement celle du Dr T.________, puisque le Dr S.________ a également conclu à la pleine exigibilité de l’exercice d’une activité lucrative telle que celle d’employée de bureau. Sur le plan des limitations fonctionnelles, les restrictions énoncées par le Dr S.________, induites par les atteintes à la santé somatiques objectivées par les deux spécialistes, convergent pour</w:t>
      </w:r>
    </w:p>
    <w:p>
      <w:r>
        <w:t>- 29 - l’essentiel avec celles retenues par le Dr T.________ puisque tous deux ont exclu les contraintes physiques ressortant typiquement d’une activité d’employée de maison. Quant à la baisse de rendement de 25% envisagée par le Dr S.________ « en situation de cumul de contraintes physiques », elle ne saurait s’appliquer à une activité respectant les restrictions fonctionnelles décrites. Une « incapacité fonctionnelle » dans une mesure similaire, soit fixée à 20%, a d’ailleurs également été envisagée par le Dr T.________ dans l’éventualité d’une activité ne revêtant pas strictement un caractère adapté (cf. rapport d’expertise du 22 juin 2014, p. 27 et 31). Dès lors, force est de considérer que l’appréciation des experts somaticiens, afférente à la capacité de travail résiduelle et aux limitations fonctionnelles de la recourante, n’est pas sérieusement remise en question par les parties, puisque l’OAI n’a pas retenu d’exigibilité dans l’ancienne activité d’employée de maison, au contraire de celle d’employée de bureau. d) Doit en revanche être investigué l’aspect psychique de la situation, quand bien même l’assurée ne s’est pas prévalue de pathologie de ce registre au stade de la procédure administrative. Le Dr S.________ a en effet évoqué un diagnostic de « fibromyalgie » accompagnée d’un « probable état anxieux », alors que le Dr T.________ a également constaté l’absence d’étiologie claire des douleurs alléguées par la recourante. Dans ses déterminations, l’OAI n’a nullement remis en cause la pertinence d’un tel diagnostic, assimilé à un trouble somatoforme douloureux. Or, en l’absence d’une expertise psychiatrique permettant d’apprécier de manière concluante le cas de l’assurée à l’aune des indicateurs prônés par la nouvelle jurisprudence fédérale en lien avec cette atteinte à la santé, il y a lieu de compléter l’instruction à cet égard. Vu ces éléments, il est en l’état impossible de se prononcer définitivement sur le caractère incapacitant de la fibromyalgie que la recourante est supposée présenter.</w:t>
      </w:r>
    </w:p>
    <w:p>
      <w:r>
        <w:t>- 30 - 8.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Berne/St-Gall/Zurich 3ème éd. 2015, n°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w:t>
      </w:r>
    </w:p>
    <w:p>
      <w:r>
        <w:t>- 31 - consid. 2.3). A l'inverse, le renvoi à l'assureur apparaît en général justifié si celui-ci a constaté les faits de façon sommaire, dans l'idée que le tribunal les éclaircirait comme il convient en cas de recours (DTA 2001 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incombe à l’OAI de procéder à l’ensemble des mesures d’instruction permettant d’élucider la situation médicale de la recourante en procédant à une expertise psychiatrique destinée à confirmer ou infirmer le diagnostic de « fibromyalgie ». Dans l’hypothèse où ce diagnostic devait être considéré comme avéré, le complément d’instruction à venir devrait encore permettre de se déterminer sur les éléments pertinents dégagés par la récente jurisprudence fédérale relative aux troubles somatoformes douloureux contenue in ATF 141 V 281 et exposée supra sous considérant 5. d) Indépendamment de ce qui précède, il appartiendra encore à l’OAI d’élucider le statut de l’assurée, laquelle a prétendu revêtir un statut d’active à plein temps à l’issue du formulaire complété le 24 décembre 2012, alors qu’elle n’exerçait son activité habituelle qu’à 78% auprès de L.________, a priori sans avoir cherché à augmenter ce taux. En outre, son statut devra de toute façon être réactualisé compte tenu des modifications intervenues ultérieurement dans sa situation personnelle (séparation de fait d’avec son conjoint en janvier 2015 et naissance son enfant en mars 2015).</w:t>
      </w:r>
    </w:p>
    <w:p>
      <w:r>
        <w:t>- 32 - e) Enfin, eu égard à la comparaison des revenus implicitement contenue dans la décision entreprise, on peut concéder à l’OAI que l’assurée dispose en effet de l’expérience professionnelle lui permettant d’exercer une activité administrative. Ce constat peut être déduit des éléments consignés à l’issue de l’entretien d’intervention précoce du 1er février 2013, alors que l’assurée a bénéficié en sus d’une mise à jour de ses connaissances informatiques, accordée par l’OAI le 11 février 2013. Cela étant, eu égard au revenu sans invalidité, on ignore en l’état la répartition effective des activités de femme de ménage et d’aide de bureau auprès de l’ancien employeur de l’assurée. Cet élément devra également être complété à l’occasion de la reprise de l’instruction. 9. Il résulte de ce qui précède que le recours, bien fondé, doit être admis, la décision attaquée annulée et la cause renvoyée à l'OAI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la recourante, assistée d'un mandataire professionnel, a par ailleurs droit à des dépens, fixés in casu à 3’000 fr. (art. 61 let. g LPGA et 55 al. 1 LPA-VD). c) On ajoutera qu’en vertu de l'art. 45 al. 1 LPGA, les frais occasionnés par les mesures d'instruction indispensables à l'appréciation du cas sont pris en charge par l'assureur. Selon la jurisprudence, les frais d’expertise privée peuvent être inclus dans les dépens mis à la charge de l’assureur social, lorsque cette</w:t>
      </w:r>
    </w:p>
    <w:p>
      <w:r>
        <w:t>- 33 - expertise était nécessaire à la résolution du litige (ATF 135 V 473 ; 115 V 62 ; TF 9C_136/2012 du 20 août 2012 consid. 5 et la référence). En l’occurrence, le rapport du Dr S.________ précité n'a pas directement permis d’établir de manière concluante l’état de fait déterminant, quand bien même il a mentionné le diagnostic de « fibromyalgie ». Un tel diagnostic pouvait en effet être déduit du rapport du Dr T.________, ce dernier ayant explicitement constaté l’absence de cause organique objective susceptible de justifier les importantes plaintes alléguées par l’assurée. Le rapport du Dr S.________ n’a donc contribué que partiellement à l’issue du présent litige, alors qu’il a pour l’essentiel confirmé les constats rapportés sur le plan strictement somatique par le Dr T.________. Le montant des dépens arrêté ci-avant englobe ainsi pour partie uniquement les frais liés à la consultation de l’expert privé.</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