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ZD15.026947 vom 13. Juni 2016</w:t>
      </w:r>
    </w:p>
    <w:p>
      <w:r>
        <w:t>VD Tribunal cantonal, 2016-06-13, FR</w:t>
      </w:r>
    </w:p>
    <w:p>
      <w:r>
        <w:rPr>
          <w:b/>
        </w:rPr>
        <w:t xml:space="preserve">Quelle: </w:t>
      </w:r>
      <w:r>
        <w:t>https://mcp.opencaselaw.ch/entscheid/vd_gerichte_ZD15.026947</w:t>
      </w:r>
    </w:p>
    <w:p>
      <w:r>
        <w:t>FR: VD_GERICHTE ZD15.026947 du 13 juin 2016</w:t>
      </w:r>
    </w:p>
    <w:p>
      <w:r>
        <w:t>IT: VD_GERICHTE ZD15.026947 del 13 giugno 2016</w:t>
      </w:r>
    </w:p>
    <w:p>
      <w:pPr>
        <w:pStyle w:val="Heading2"/>
      </w:pPr>
      <w:r>
        <w:t>Erwägungen</w:t>
      </w:r>
    </w:p>
    <w:p>
      <w:r>
        <w:rPr>
          <w:b/>
        </w:rPr>
        <w:t>E. 11</w:t>
      </w:r>
    </w:p>
    <w:p>
      <w:r>
        <w:t>juin 2015 sont imprimées trois séries de codes (vraisemblablement en lien avec un processus de scannage) se référant à la date du 15 juin 2015, que cela étant, au lieu de transmettre ces pièces à la juridiction de céans (cf. art. 30 LPGA), il incombait bien plutôt à l’office d’examiner dans un premier temps la recevabilité des objections de l’assuré – en particulier ratione temporis – et, en fonction du résultat de son analyse, de déclarer lesdites objections irrecevables ou au contraire d’en admettre la recevabilité et de se prononcer quant au fond conformément à la procédure prévue à l’art. 87 al. 2 et 3 RAI, que ce constat demeure inchangé même à admettre que le courrier de l’assuré du 11 juin 2015 se soit croisé avec la décision de non entrée en matière du 15 juin 2015, qu’en effet, dans une telle hypothèse, l’administration avait la faculté de procéder à l'annulation de la décision du 15 juin 2015 et à son remplacement, avant l'échéance du délai de recours, par une nouvelle décision rectificative, qu’à ce propos, il faut souligner que la jurisprudence tient certes pour valable la révocation de décisions sur lesquelles une autorité judiciaire ne s'est pas prononcée, en cas de découverte de faits ou de moyens de preuve nouveaux ou en cas d'inexactitude manifeste (révision ou reconsidération d'une décision administrative au sens des art. 53 al. 1 et 2 LPGA), mais qu’il n'est cependant pas nécessaire que ces conditions soient remplies lorsque la décision n'est pas formellement entrée en force</w:t>
      </w:r>
    </w:p>
    <w:p>
      <w:r>
        <w:t>- 10 - de chose décidée, c'est-à-dire lorsque le délai de recours n'est pas encore échu au moment où l'administration révoque sa décision (cf. TF 9C_172/2011 du 22 août 2011 consid. 3 avec la jurisprudence citée) ; attendu que c’est donc à tort que l’OAI a écarté sa compétence concernant le courrier de l’assuré du 11 juin 2015 pour le transmettre au présent tribunal, par envoi du 25 juin 2015, aux fins de valoir recours contre la décision du 15 juin 2015, qu’à la lumière de ce vice de procédure, il y a par conséquent lieu de mettre à néant la décision de refus d’entrer en matière du 15 juin 2015 et de renvoyer la cause à l’office afin qu’il rende une nouvelle décision après avoir examiné les objections de l’assuré du point de vue de leur recevabilité puis, le cas échéant, quant à leur bien-fondé, qu’en ce sens, le recours – pour autant que l’on puisse considérer comme tel le courrier de l’assuré du 11 juin 2015 – doit être admis et la décision attaquée annulée, la cause étant renvoyée à l’office intimé pour nouvelle décision dans le sens des considérants ; attendu qu'au vu des circonstances particulières de la présente affaire, il sera exceptionnellement renoncé à la perception d’un émolument judiciaire à la charge de l’intimé qui succombe, que le recourant, qui a procédé seul, n’a par ailleurs pas droit à des dépens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