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ZD15.026916 vom 7. Februar 2017</w:t>
      </w:r>
    </w:p>
    <w:p>
      <w:r>
        <w:t>VD Tribunal cantonal, 2017-02-07, FR</w:t>
      </w:r>
    </w:p>
    <w:p>
      <w:r>
        <w:rPr>
          <w:b/>
        </w:rPr>
        <w:t xml:space="preserve">Quelle: </w:t>
      </w:r>
      <w:r>
        <w:t>https://mcp.opencaselaw.ch/entscheid/vd_gerichte_ZD15.026916</w:t>
      </w:r>
    </w:p>
    <w:p>
      <w:r>
        <w:t>FR: VD_GERICHTE ZD15.026916 du 7 février 2017</w:t>
      </w:r>
    </w:p>
    <w:p>
      <w:r>
        <w:t>IT: VD_GERICHTE ZD15.026916 del 7 febbraio 2017</w:t>
      </w:r>
    </w:p>
    <w:p>
      <w:pPr>
        <w:pStyle w:val="Heading2"/>
      </w:pPr>
      <w:r>
        <w:t>Erwägungen</w:t>
      </w:r>
    </w:p>
    <w:p>
      <w:r>
        <w:rPr>
          <w:b/>
        </w:rPr>
        <w:t>E. 8</w:t>
      </w:r>
    </w:p>
    <w:p>
      <w:r>
        <w:t>a) Dans la mesure où le recourant a plus de 55 ans, il entre dans la catégorie d’assurés pour lesquels des mesures d’observation professionnelle s’imposent en principe selon la jurisprudence avant suppression de la rente par voie de révision. Avant de réduire ou de supprimer une rente d'invalidité, l'administration doit en effet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(cf. TF 9C_178/2014 du 29 juillet 2014 consid. 7.1.2.1 ; 9C_368/2010 du 31 janvier 2011 consid. 5.2.2.1 et 9C_163/2009 du 10 septembre 2010 consid. 4.2.2 et les arrêts cités).</w:t>
      </w:r>
    </w:p>
    <w:p>
      <w:r>
        <w:t>- 30 -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que sauf exceptions, une réadaptation par soi-même ne peut pas être exigée d'eux en raison de leur âge ou de la longue durée de la rente (cf. également TF 9C_178/2014 précité consid. 7.1.2.2). De telles exceptions ont par exemple été admises lorsque l’assuré avait maintenu une activité lucrative malgré le versement de la rente, de sorte qu’il n’existait pas de longue période d’éloignement professionnel (cf. TF 9C_292/2015 du 27 janvier 2016 consid. 5.2 et 8C_597/2014 du 6 octobre 2015 consid. 3.2 et les références) ou lorsqu'il disposait d'une agilité particulière et était bien intégré dans l'environnement social (cf. TF 9C_625/2015 du 17 novembre 2015 consid. 5, 9C_68/2011 du 16 mai 2011 consid. 3.3 et la référence). Le point de savoir si les critères de la durée de 15 années d'allocation de la rente ou de l'accomplissement de la 55e année sont réalisés doit être examiné par rapport au moment du prononcé de la décision de suppression de la rente ou à celui à partir duquel cette prestation a été supprimée (ATF 141 V 5 consid. 4). b) En l’occurrence, en présence d’une reconsidération constatant une capacité de travail qui a toujours été présente, des mesures d’ordre professionnel préalables n’apparaissent pas nécessaires. Il ressort en outre du dossier que le recourant a été informé de l’existence de mesures de réadaptation lors d’un l’entretien à l’OAI du 16 décembre 2013, à l’occasion duquel il a déclaré ne rien être capable de faire. Il a ensuite été averti, par communication du 8 janvier 2014, que les</w:t>
      </w:r>
    </w:p>
    <w:p>
      <w:r>
        <w:t>- 31 - prestations d’invalidité pouvaient être réduites ou refusées s’il se soustrayait ou s’opposait, ou encore ne participait pas spontanément à une mesure de réinsertion professionnelle raisonnablement exigible et susceptible d’améliorer notablement sa capacité de travail ou d’offrir une nouvelle possibilité de gain (cf. art. 21 al. 4 LPGA). Malgré cela, lors d’un nouvel entretien à l’OAI le 30 juin 2014, il s’est déclaré inapte à suivre une mesure. Finalement, il faut relever que dans son recours, le recourant ne conclut pas subsidiairement à la mise en place de telles mesures.</w:t>
      </w:r>
    </w:p>
    <w:p>
      <w:r>
        <w:rPr>
          <w:b/>
        </w:rPr>
        <w:t>E. 9</w:t>
      </w:r>
    </w:p>
    <w:p>
      <w:r>
        <w:t>a) Au vu de tout ce qui précède, il y a lieu, par substitution de motifs, de confirmer la décision attaquée en tant qu’elle prononce la suppression de la rente d’invalidité du recourant. C’est également à juste titre que l’OAI a prononcé cette suppression à partir du premier jour du 2e mois suivant la notification de la décision, au regard de l’art. 88bis al. 2 RAI. En conséquence, le recours doit être rejeté.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Dans la mesure où celui-ci a été mis au bénéfice de l'assistance judiciaire, sous la forme d’une exonération d’avances et de frais judiciaires, ces derniers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w:t>
      </w:r>
    </w:p>
    <w:p>
      <w:r>
        <w:t>- 32 - judiciaires ; celle-ci est en effet tenue à remboursement dès qu'elle est en mesure de le faire (art. 123 CPC, applicable par renvoi de l'art. 18 al. 5 LPA-VD). Il n'y a pas lieu d'allouer de dépens, le recourant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