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ZD15.023111 vom 6. April 2017</w:t>
      </w:r>
    </w:p>
    <w:p>
      <w:r>
        <w:t>VD Tribunal cantonal, 2017-04-06, FR</w:t>
      </w:r>
    </w:p>
    <w:p>
      <w:r>
        <w:rPr>
          <w:b/>
        </w:rPr>
        <w:t xml:space="preserve">Quelle: </w:t>
      </w:r>
      <w:r>
        <w:t>https://mcp.opencaselaw.ch/entscheid/vd_gerichte_ZD15.023111</w:t>
      </w:r>
    </w:p>
    <w:p>
      <w:r>
        <w:t>FR: VD_GERICHTE ZD15.023111 du 6 avril 2017</w:t>
      </w:r>
    </w:p>
    <w:p>
      <w:r>
        <w:t>IT: VD_GERICHTE ZD15.023111 del 6 aprile 2017</w:t>
      </w:r>
    </w:p>
    <w:p>
      <w:pPr>
        <w:pStyle w:val="Heading2"/>
      </w:pPr>
      <w:r>
        <w:t>Erwägungen</w:t>
      </w:r>
    </w:p>
    <w:p>
      <w:r>
        <w:rPr>
          <w:b/>
        </w:rPr>
        <w:t>E. 2</w:t>
      </w:r>
    </w:p>
    <w:p>
      <w:r>
        <w:t>derniers étages lombaires. Sur le plan médical, concernant le genou D, la situation peut maintenant être considérée comme suffisamment stabilisée pour établir le bilan des séquelles lésionnelles. Les suites de l’accident nécessitent un suivi médical espacé à long terme et la prescription ponctuelle de mesures d’antalgie et anti-inflammatoires. Il n’y a pas de traitement chirurgical, ni de traitement de physiothérapie susceptibles de l’améliorer de manière notable. La physiothérapie devrait être stoppée au terme de la prescription en cours. En revanche, ce patient devrait être encouragé à solliciter le plus activement possible la fonction de son genou dans ses activités quotidiennes et la Suva pourrait participer à l’acquisition d’un abonnement de fitness pour la durée de 3 mois. Concernant le rachis cervical et lombaire, en l’absence de lésion structurelle démontrée à l’imagerie, on doit considérer qu’il s’agit d’une aggravation temporaire d’un état antérieur dégénératif et l’accident du 05.10.2012 a totalement cessé de déployer ses effets 12 mois après. Sur le plan assécurologique, un retour durable vers une pleine capacité dans son activité n’est pas envisageable. Ce patient peut, par contre, mettre en valeur une pleine capacité (horaire et rendement) dans une activité adaptée avec les limitations suivantes pour le genou D : positions de travail alternées assis/debout, pas de travail à genoux, accroupi ni au sol, pas d’utilisation d’échelle ni d’échafaudages, pas d’utilisation répétée d’escaliers, pas de</w:t>
      </w:r>
    </w:p>
    <w:p>
      <w:r>
        <w:t>- 6 - déplacement en terrain accidenté et port de charges limitées à 15- 20 kg. Dans un projet de décision du 3 juillet 2014, l’office AI a informé l’assuré qu’il entendait rejeter sa demande, au motif que la capacité de travail exigible était demeurée inchangée depuis la décision rendue le 12 décembre 2011. Interpelé par l’office AI, le docteur L.________ a, dans un rapport du 4 novembre 2014, indiqué que la capacité résiduelle de travail dans une activité adaptée aux limitations fonctionnelles de son patient se situait depuis le mois d’octobre 2012 entre 20 et 40 %. Le 16 février 2015, l’assuré a transmis à l’office AI plusieurs documents, dont notamment : • un rapport médical du docteur L.________ du 6 février 2015, où ce médecin évaluait la capacité de travail de l’assuré dans une activité assise à 40 % au maximum avec un rendement extrêmement diminué (50 % de rendement environ) ; • un rapport médical du docteur T.________ du 4 février 2015, attestant d’une arthrose cervicale C3-C5 avec une hernie discale C5-C6 postéro- latérale droite et d’une suspicion d’une lésion dégénérative de la coiffe des rotateurs de l’épaule droite (sous-scapulaire, sus-épineux) dans le cadre d’un conflit sous-acromial suspect. Le 23 mars 2015, l’assuré a transmis à l’office AI un nouveau rapport médical établi le 19 mars 2015 par le docteur F.________, dont les conclusions ont la teneur suivante : EN CONCLUSION : ce patient souffre d’affections multiples de l’appareil locomoteur. Actuellement, prédominent les cervico- brachialgies droites qui sont persistantes et qui ont été objectivées en imagerie sous forme d’un conflit « dur » à l’émergence de la racine nerveuse. Sous traitement conservateur il n’y a pas d’amélioration durable. Le tout rend le pronostic à mon avis assez réservé. Une chirurgie de libération pourrait être envisagée avec les</w:t>
      </w:r>
    </w:p>
    <w:p>
      <w:r>
        <w:t>- 7 - risques qu’elle comporte. Actuellement, en l’absence de troubles neurologiques avérés, l’indication en reste relative. En ce qui concerne les lombalgies basses, le pronostic est celui de douleurs chroniques qui avec le temps peuvent parfois s’estomper si un enraidissement spontané et suffisant survient (ce qui pour l’instant n’est pas le cas). Des traitements dans un centre d’antalgie sous forme d’infiltrations sélectives des articulaires éventuellement suivies de thermocoagulations pourraient aider. Ceci devrait être assorti à l’apprentissage d’une bonne hygiène posturale et si possible d’une perte pondérale. Au niveau des genoux, on est dans une situation préarthrosique de surcharge du compartiment interne qui éventuellement pourrait être améliorée par des ostéotomies de valgisation ce qui demanderait encore une étude des axes mécaniques. Quoi qu’il en soit, l’atteinte du genou est chronique, elle n’est que lentement évolutive et pour l’instant, n’est pas prioritaire en ce qui concerne le traitement. Sur le plan professionnel, l’association de ces diverses pathologies mais notamment les cervico-brachialgies D font qu’il n’est pas en mesure de travailler dans son métier. Dans cette situation, une reconversion professionnelle s’avère également difficile. A mon avis, la 1ère décision à prendre est celle d’une éventuelle intervention sur son rachis cervical. Le patient va prochainement revoir le Dr A._________ pour discuter de façon approfondie quant à cette éventuelle intervention. Après avoir requis l’avis de son Service médical régional (SMR), l’office AI a, par décision du 23/29 avril 2015, rejeté la demande de prestations de l’assuré. B. a) Par acte du 5 juin 2015, E.________, représenté par Me Olivier Carré, a déféré la décision du 23/29 avril 2015 devant la Cour des assurances sociales du Tribunal cantonal, concluant principalement au constat du droit à des prestations de l’assurance-invalidité, subsidiairement au renvoi de la cause à l’office AI pour instruction complémentaire et nouvelle décision au sens des considérants. En substance, il estimait que le dossier avait été insuffisamment instruit sur le plan médical. b) Dans sa réponse du 10 juillet 2015, l’office AI a conclu au rejet du recours. Se référant aux avis émis par le SMR au cours de la procédure administrative, il a relevé qu’une pleine capacité de travail dans une activité adaptée demeurait toujours exigible de la part de l’assuré, sans qu’il ne soit nécessaire d’entreprendre des mesures d’investigation</w:t>
      </w:r>
    </w:p>
    <w:p>
      <w:r>
        <w:t>- 8 - complémentaires pour confirmer cette aptitude. De fait, l’état de santé de l’assuré ne s’était pas modifié de manière à influer sur son droit aux prestations depuis le refus de prester prononcé en 2011. c) Dans sa réplique du 30 novembre 2015, E.________ a produit de nouvelles pièces médicales, lesquelles attestaient qu’il avait présenté une volumineuse hernie disco-ostéophytaire C5-C6 foraminale droite, laquelle entrait en conflit avec la racine C6 droite, ainsi qu’une discopathie C5-C6, et qu’il avait fait l’objet d’une intervention chirurgicale en date du 17 septembre 2015. Il était toutefois encore trop tôt pour disposer d’un recul suffisant quant aux enseignements à tirer de cette intervention. Compte tenu de l’ensemble des diverses atteintes présentes (rachis lombaire, rachis cervical, genoux), l’assuré estimait que les conditions étaient remplies pour que soit mise en œuvre une expertise pluridisciplinaire. d) Dans sa duplique du 6 janvier 2016, l’office AI a, compte tenu de la situation « difficile », suggéré également la mise en œuvre d’une expertise neurologique. e) Le 12 mai 2016, le juge instructeur a décidé de confier la réalisation d’une expertise bidisciplinaire (neurologique et orthopédique) aux docteurs N.________, spécialiste en neurologie, et B.________, spécialiste en chirurgie orthopédique et traumatologie de l’appareil locomoteur. f) Dans leur rapport du 22 juillet 2016, les docteurs N.________ et B.________ ont posé les diagnostics – avec répercussion sur la capacité de travail – de status après entorse des deux genoux, de lésion de la corne postérieure du ménisque interne et lésion dégénérative de la corne postérieure du ménisque externe du genou droit, de lésion de la corne postérieure du ménisque interne et lésion dégénérative de la corne postérieure du ménisque externe du genou gauche, de status post- opératoire cervical avec arthrose multi-étagée C2 à C7, et ceux – sans répercussion sur la capacité de travail – de coxarthrose débutante</w:t>
      </w:r>
    </w:p>
    <w:p>
      <w:r>
        <w:t>- 9 - bilatérale, de gonarthrose débutante des deux côtés et de performances cognitives insuffisantes sur effort sub-maximal et autolimitation. Au titre des conclusions, les experts ont retenu les éléments suivants : Les douleurs multiples (épaules, genoux, région cervicale et lombaire) sont certainement à l’origine d’une incapacité de travail totale dans la profession de plâtrier-peintre. Concernant l’atteinte méniscale des genoux, il s’agit de lésions qui peuvent être traitées par arthroscopie. Ce traitement devrait aboutir à une importante diminution des douleurs, si ce n’est à leur suppression. Cependant, ces lésions se manifestent dans le cadre d’une gonarthrose débutante qui pourrait se manifester de plus en plus surtout lors de travaux lourds. On peut faire le même raisonnement concernant la coxarthrose débutante dont l’évolution peut être très lente. L’évolution peut cependant être beaucoup plus rapide et seul le suivi orthopédique de ce patient pourra mettre en évidence la vitesse d’évolution des lésions dégénératives des genoux et des hanches. Après traitement des lésions méniscales, le patient est certainement apte à 100 % pour un travail adapté, c’est-à-dire permettant un changement de position fréquent en évitant les ports de charges, la position à genoux ou accroupie et l’utilisation des membres supérieurs à l’horizontale des épaules et au-dessus, en raison des douleurs de celles-ci. Enfin, il est vraisemblable que les lésions méniscales internes soient présentes depuis l’accident du 05.10.2012 où le patient a chuté d’un échafaudage d’une hauteur de</w:t>
      </w:r>
    </w:p>
    <w:p>
      <w:r>
        <w:rPr>
          <w:b/>
        </w:rPr>
        <w:t>E. 4</w:t>
      </w:r>
    </w:p>
    <w:p>
      <w:r>
        <w:t>a) En l’espèce, le recourant présente un tableau clinique caractérisé par des atteintes multiples (aux épaules, aux genoux et à la région cervicale et lombaire) à l’origine de douleurs chroniques qui l’empêchent – cela n’est pas contesté – d’exercer son activité habituelle de plâtrier-peintre. b) D’après les conclusions de l’expertise judiciaire ordonnée par la Cour de céans, le recourant dispose d’une capacité de travail entière dans une activité adaptée à ses limitations fonctionnelles (activité sédentaire avec possibilité de se dégourdir, sans déplacements au-delà de l’environnement immédiat et sans port de charges répété au-delà de 15 kg). aa) Il n’y a pas lieu de s’écarter du contenu de cette expertise. Celle-ci remplit toutes les exigences formelles auxquelles la jurisprudence soumet la valeur probante d'un tel document (cf. supra consid. 3e). Les conclusions rendues par le collège d'experts - dont l'impartialité et l'objectivité ne sont pas remises en cause par le recourant - résultent d'une analyse complète de la situation médicale, tant objective que</w:t>
      </w:r>
    </w:p>
    <w:p>
      <w:r>
        <w:t>- 15 - subjective, reposant sur une anamnèse complète contenant notamment une description précise et exhaustive des plaintes et du quotidien. Les examens auxquels il a été procédé ont mis en évidence que les douleurs cervico-brachiales et lombaires n’étaient pas associées à un quelconque déficit neurologique (central ou périphérique). Les lésions dégénératives débutantes aux genoux et aux hanches, de même que l’état des épaules, ne justifiaient, à l’heure actuelle, aucune incapacité de travail dans une activité adaptée aux limitations fonctionnelles. Quant aux tests neuropsychologiques, ils n’avaient révélé aucun signe d’une pathologie organique sous-jacente traumatique, l’insuffisance des performances étant liée à une collaboration déficiente avec surcharge et autolimitation dans le cadre d’un effort sub-maximal. Tout au plus présentait-il des lésions méniscales, lesquelles étaient accessibles à un traitement arthroscopique. Aux termes de l’expertise, il apparaissait que les difficultés de mobilisation étaient liées avant tout à l’obésité morbide du recourant, laquelle constituait le principal facteur de renforcement des douleurs squelettiques et articulaires. bb) Les rapports médicaux produits par le recourant au cours de la procédure ne sont pas de nature à remettre en cause l’appréciation des experts judiciaires. Le docteur F.________ a dressé un tableau rassurant en ce qui concernait la situation du genou droit et renvoyé aux conclusions de l’expertise s’agissant des problèmes du rachis cervical (rapports des 7 et 14 juillet 2016). Sans remettre en cause les constatations cliniques opérées par les experts, le docteur L.________ leur reproche d’avoir minimisé l’importance des douleurs et les limitations physiques qui en sont la conséquence (rapport du 4 septembre 2016). Or, compte tenu des difficultés, en matière de preuve, à établir l'existence de douleurs (en l'absence d'observation médicale concluante sur le plan somatique ou psychiatrique), les simples plaintes subjectives de la personne assurée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w:t>
      </w:r>
    </w:p>
    <w:p>
      <w:r>
        <w:t>- 16 - prestations ne peut être assurée de manière conforme à l'égalité de traitement entre assurés (ATF 130 V 352 consid. 2.2.2). cc) Quant à l’obésité, on rappellera qu’elle n'est en soi pas constitutive d'invalidité, celle-ci n'étant admise que si l'excédent de poids a provoqué une atteinte à la santé ou s'il est lui-même la conséquence d'un trouble de la santé et qu'ainsi, la capacité de gain est sensiblement réduite et ne peut être augmentée de façon importante par des mesures raisonnablement exigibles (TF 9C_48/2009 du 1er octobre 2009 consid. 2.3 et TF 9C_931/2008 du 8 mai 2009 consid. 4.1 ; cf. également TFA I 583/82 du 17 octobre 1983, in RCC 1984 p. 359).</w:t>
      </w:r>
    </w:p>
    <w:p>
      <w:r>
        <w:rPr>
          <w:b/>
        </w:rPr>
        <w:t>E. 5</w:t>
      </w:r>
    </w:p>
    <w:p>
      <w:r>
        <w:t>a) Force est de constater que le recourant dispose d’une capacité de travail entière dans une activité adaptée à ses limitations fonctionnelles. Dans la mesure où la situation n’a pas notablement évolué depuis la précédente décision rendue le 2 novembre 2011 par l’office intimé, c’est par conséquent à juste titre que celui-ci a rejeté la nouvelle demande de prestations du recourant. b) Au surplus, il convient de préciser qu’il n’y a pas lieu de tenir compte dans le cadre de la présente procédure de la décompensation entrainée par la hernie discale C5-C6 ayant conduit à l’intervention chirurgicale du 17 septembre 2015, puisque, comme cela ressort implicitement de l’expertise judiciaire, celle-ci n’a été que temporaire.</w:t>
      </w:r>
    </w:p>
    <w:p>
      <w:r>
        <w:rPr>
          <w:b/>
        </w:rPr>
        <w:t>E. 6</w:t>
      </w:r>
    </w:p>
    <w:p>
      <w:r>
        <w:t>Dans la mesure où la situation est demeurée inchangée, le recourant ne saurait prétendre à l’allocation de mesures d’ordre professionnel, dès lors qu’il a bénéficié au cours de l’examen de sa précédente demande de prestations de mesures qui lui permettraient de réaliser un revenu excluant tout droit à une rente de l’assurance-invalidité.</w:t>
      </w:r>
    </w:p>
    <w:p>
      <w:r>
        <w:rPr>
          <w:b/>
        </w:rPr>
        <w:t>E. 7</w:t>
      </w:r>
    </w:p>
    <w:p>
      <w:r>
        <w:t>a) Partant, le recours, mal fondé, doit être rejeté et la décision attaquée confirmée.</w:t>
      </w:r>
    </w:p>
    <w:p>
      <w:r>
        <w:t>- 17 -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du recourant, qui succombe (cf. art. 69 al. 1bis LAI ; art. 49 al. 1 LPA-VD). Toutefois, dès lors qu’il a été mis au bénéfice de l'assistance judiciaire, ces frais sont laissés provisoirement à la charge de l'Etat. c) Le recourant bénéficie également, au titre de l'assistance judiciaire, de la commission d'office d'un avocat en la personne de Me Olivier Carré (cf. art. 118 al. 1 let. c CPC [Code de procédure civile du 19 décembre 2008; RS 272], applicable par renvoi de l'art. 18 al. 5 LPA-VD). Par courriers du 2 février 2017, Me Carré a produit le relevé des opérations effectuées dans le cadre de la présente procédure pour la période courant du 5 juin 2015 au 2 février 2017. Son activité a été contrôlée au regard de la conduite du procès et rentre globalement dans le cadre de l’accomplissement du mandat confié, de sorte qu’elle doit être arrêtée à 19 heures et 35 minutes, au tarif horaire de 180 fr. (art. 2 al. 1 let. a RAJ [règlement du 7 décembre 2010 sur l'assistance judiciaire en matière civile; RSV 211.02.3]), soit 3’525 fr., à quoi s’ajoutent 250 fr. de débours, ce qui représente un montant total en faveur de Me Carré de 4'077 fr., TVA au taux de 8% par 302 fr. comprise. d) Le recourant est rendu attentif au fait qu’il devra rembourser les frais judiciaires et l’indemnité du conseil d’office dès qu’il sera en mesure de le faire (art. 123 al. 1 CPC ; 18 al. 5 LPA-VD). Il incombera au Service juridique et législatif de fixer les modalités de remboursement (art. 5 RAJ).</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