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ZD15.022190 vom 27. Juli 2017</w:t>
      </w:r>
    </w:p>
    <w:p>
      <w:r>
        <w:t>VD Tribunal cantonal, 2017-07-27, FR</w:t>
      </w:r>
    </w:p>
    <w:p>
      <w:r>
        <w:rPr>
          <w:b/>
        </w:rPr>
        <w:t xml:space="preserve">Quelle: </w:t>
      </w:r>
      <w:r>
        <w:t>https://mcp.opencaselaw.ch/entscheid/vd_gerichte_ZD15.022190</w:t>
      </w:r>
    </w:p>
    <w:p>
      <w:r>
        <w:t>FR: VD_GERICHTE ZD15.022190 du 27 juillet 2017</w:t>
      </w:r>
    </w:p>
    <w:p>
      <w:r>
        <w:t>IT: VD_GERICHTE ZD15.022190 del 27 luglio 2017</w:t>
      </w:r>
    </w:p>
    <w:p>
      <w:pPr>
        <w:pStyle w:val="Heading2"/>
      </w:pPr>
      <w:r>
        <w:t>Erwägungen</w:t>
      </w:r>
    </w:p>
    <w:p>
      <w:r>
        <w:rPr>
          <w:b/>
        </w:rPr>
        <w:t>E. 4</w:t>
      </w:r>
    </w:p>
    <w:p>
      <w:r>
        <w:t>Sur le plan procédural,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cas échéant, il est nécessaire de mettre préalablement en œuvre une mesure d’observation professionnelle (afin d’établir l’aptitude au travail, la résistance à l’effort, etc.), voire des mesures de réadaptation professionnelle (cf. TF 9C_283/2016 du 5 décembre 2016 consid. 6.2 et les références citées).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(cf. art. 17 al. 1 LPGA) ou reconsidération (cf. art. 53 al. 2</w:t>
      </w:r>
    </w:p>
    <w:p>
      <w:r>
        <w:t>- 25 -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 même ne peut, sauf exception, être exigée d’elle en raison de son âge ou de la durée du versement de la rente (cf. TF 9C_517/2016 du 7 mars 2017 consid. 5.2 avec les références). En l'espèce, l'OAI a considéré en 2015 que la recourante n'avait plus droit à une rente d'invalidité alors qu'elle était au bénéfice d'une telle rente depuis 1997, soit depuis plus de quinze ans. L’office n'a pas examiné la question des mesures d'ordre professionnel sous cet angle, se limitant à observer que le taux d'invalidité de 15% n'ouvrait pas de droit à des mesures de reclassement. Pour ce premier motif, il y a lieu d'annuler la décision attaquée et de renvoyer la cause à l'intimé afin qu'il procède conformément à la jurisprudence rappelée ci-dessus, ceci dans l'hypothèse d'une réduction ou suppression de rente.</w:t>
      </w:r>
    </w:p>
    <w:p>
      <w:r>
        <w:rPr>
          <w:b/>
        </w:rPr>
        <w:t>E. 5</w:t>
      </w:r>
    </w:p>
    <w:p>
      <w:r>
        <w:t>Sur le fond, il y a lieu d'examiner si l'état de santé de la recourante s'est modifié depuis la décision du 22 novembre 2006.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w:t>
      </w:r>
    </w:p>
    <w:p>
      <w:r>
        <w:t>- 26 -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132 V 93 consid. 4, 125 V 256 consid. 4 et 115 V 133 consid. 2 ; cf. TF 8C_160/2016 du 2 mars 2017 consid. 4.1).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- 27 - expertise, mais bel et bien son contenu (cf. ATF 134 V 231 consid. 5.1 et 125 V 351 consid. 3a et les réf. citées ; cf.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Bien que les rapports d'examen réalisés par un SMR en vertu de l'art. 49 al. 2 RAI (règlement du 17 janvier 1961 sur l'assurance- invalidité ; RS 831.201) ne soient pas des expertises au sens de l'art. 44 LPGA et ne soient pas soumis aux mêmes exigences formelles (cf. ATF 135 V 254 consid. 3.4), ils peuvent néanmoins revêtir la même valeur probante que des expertises, dans la mesure où ils satisfont aux exigences définies par la jurisprudence en matière d'expertise médicale (cf. consid. 3.3.2 non publié de l'ATF 135 V 254 et les références). Il convient cependant d'ordonner une expertise si des doutes, mêmes faibles, subsistent quant à la fiabilité et à la pertinence des constatations médicales effectuées par le service médical interne de l'assurance (cf. ATF 135 V 465 consid. 4.6 ; cf. TF 9C_500/2011 du 26 mars 2012 consid. 3.1, 9C_28/2011 du 6 octobre 2011 consid. 2.2 et 9C_745/2010 du 6 juillet 2009 consid. 3.3.2 et les références).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divergeant de celle de l'expert (cf. TF 9C_615/2015 du 12 janvier 2016 consid. 6.2, 9C_584/2011 du 12 mars 2012 consid. 2.3 et 9C_268/2011 du 26 juillet 2011 consid. 6.1.2, avec la jurisprudence citée).</w:t>
      </w:r>
    </w:p>
    <w:p>
      <w:r>
        <w:t>- 28 -</w:t>
      </w:r>
    </w:p>
    <w:p>
      <w:r>
        <w:rPr>
          <w:b/>
        </w:rPr>
        <w:t>E. 6</w:t>
      </w:r>
    </w:p>
    <w:p>
      <w:r>
        <w:t>a) En l'espèce, sur le plan somatique, lors de la décision du 22 novembre 2006, les Drs M.________ et G.________ ont posé le 27 mars 2003 les diagnostics de souffrance de la coiffe des rotateurs après réparation chirurgicale et après maladie de Südeck, avec discrète limitation fonctionnelle. Ils ont estimé l'incapacité de travail totale dans l'activité d'aide-jardinière et de l'ordre de 40 à 50% dans une activité adaptée semi- sédentaire, où le membre supérieur droit ne serait que peu sollicité, avec limitations des charges à 1 kg, ainsi que limitation des mouvements de rotation externe au-delà de 30° et d'abduction-antépulsion au-delà de 70°. Ils ont observé que la recourante présentait une pathologie dégénérative de la coiffe des rotateurs à droite avec, comme témoin actuel, une rupture du long chef du biceps et une diminution radiologique de l'espace sous- acromial. Toutefois, ils ont relevé qu'il existait des phénomènes d'amplification et qu'il était difficile d'interpréter électivement les tests isométriques et les mouvements d'amplitude de l'épaule, la recourante adoptant une attitude d'épargne du membre supérieur, qui était défavorable et sans doute responsable de la discrète amyotrophie proximale constatée. Le 17 octobre 2005, le Dr R.________ a posé les diagnostics de status après opération de la coiffe des rotateurs avec séquelles douloureuses et limitation de l'épaule droite, état dépressif d'intensité moyenne et arthrose évoluée de l'articulation astragalo-scaphodïenne bilatérale. Il a indiqué que l'état de santé de la recourante était stationnaire et que, depuis juillet 2002, il la voyait régulièrement à la consultation pour des douleurs persistantes de l'épaule droite. Il a considéré que l'incapacité de travail était totale dans toute profession en raison de la chronicité de la maladie de la recourante, dont l'évolution n'était pas favorable. Par la suite, dans son rapport du 15 mars 2010, le Dr R.________ a indiqué que l'état de santé de la recourante était stationnaire. Il a mentionné que suite à l'opération de la coiffe des rotateurs de l'épaule droite, elle présentait des douleurs persistantes et une limitation de la mobilité de cette épaule. Il a constaté en outre des douleurs aux chevilles.</w:t>
      </w:r>
    </w:p>
    <w:p>
      <w:r>
        <w:t>- 29 - Interpellé dans le cadre de la procédure de révision ayant abouti à la décision attaquée, le Dr R.________ n'a pas donné d'autres renseignements sur le plan somatique dans son rapport du 27 mars 2013. Il n’a pas décrit l'évolution de l'état de santé de la recourante, mais s’est limité à évoquer les douleurs dont elle lui avait fait part, sans mentionner de constatations objectives. Il n’a d’ailleurs pas donné de précisions sur son appréciation de la capacité de travail au niveau somatique. Ses conclusions ne peuvent dès lors être suivies. Tel n’est en revanche pas le cas des conclusions formulées par les Drs H.________ et K.________ dans leur rapport du 31 octobre 2014. Ils ont posé les diagnostics avec répercussion durable sur la capacité de travail de douleur chronique de l'épaule droite, dans un contexte de déchirure tendineuse partielle du sus-épineux avec calcification hétérotopique de la face inférieure de l'acromion, et d'arthrose de l'articulation astragalo-scaphoïdienne bilatérale. Après avoir fait effectuer des examens radiologiques, ils ont expliqué que malgré la réparation de la coiffe des rotateurs effectuées en 1996, la recourante présentait une déchirure superficielle du tendon distal du muscle sus-épineux, sans atrophie de ce muscle selon l'imagerie par résonance magnétique (IRM) du</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137V 210 consid. 4.4.1.4 et 4.4.1.5). b) En l’occurrence, au vu des lacunes d’instruction, il s’avère que les faits pertinents n’ont pas été constatés de manière complète. Il se justifie par conséquent d’ordonner le renvoi de la cause à l’OAl – auquel il</w:t>
      </w:r>
    </w:p>
    <w:p>
      <w:r>
        <w:t>- 35 - appartient au premier chef d’instruire, conformément au principe inquisitoire qui régit la procédure dans le domaine des assurances sociales, selon l’art. 43 al. 1 LPGA. L’intimé rendra ensuite une nouvelle décision après avoir complété l’instruction du dossier sur le plan médical par une évaluation psychiatrique. Il aura aussi à tenir compte de l'évolution de l'état de santé de la recourante sur le plan somatique depuis l'examen des médecins du SMR du 12 septembre 2014. Dans l'hypothèse où la rente devrait être réduite ou supprimée, des mesures d'ordre professionnel devront être ordonnées. c) Compte tenu de l’issue du litige, la Cour de céans renonce à examiner les autres arguments invoqués par la recourante.</w:t>
      </w:r>
    </w:p>
    <w:p>
      <w:r>
        <w:rPr>
          <w:b/>
        </w:rPr>
        <w:t>E. 8</w:t>
      </w:r>
    </w:p>
    <w:p>
      <w:r>
        <w:t>a) En conséquence, le recours doit être admis et la cause renvoyée à l'OAI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dont le montant droit être déterminé d’après l’importance et la complexité du litige (cf. art. 61 let. g LPGA ; cf. également art. 10 et 11 TFJDA [tarif du 28 avril 2015 des frais judiciaires et des dépens en matière administrative ; RSV 173.36.5.1]). En l’espèce, les dépens sont arrêtés à 2’500 fr., TVA comprise, à la charge de l'intimé qui succombe (cf. art. 55 al. 2 et 56 al. 2 LPA-VD), ce montant couvrant largement l’indemnité d’office qui aurait été allouée à Me Peca.</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