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ZD15.020756 vom 18. März 2016</w:t>
      </w:r>
    </w:p>
    <w:p>
      <w:r>
        <w:t>VD Tribunal cantonal, 2016-03-18, FR</w:t>
      </w:r>
    </w:p>
    <w:p>
      <w:r>
        <w:rPr>
          <w:b/>
        </w:rPr>
        <w:t xml:space="preserve">Quelle: </w:t>
      </w:r>
      <w:r>
        <w:t>https://mcp.opencaselaw.ch/entscheid/vd_gerichte_ZD15.020756</w:t>
      </w:r>
    </w:p>
    <w:p>
      <w:r>
        <w:t>FR: VD_GERICHTE ZD15.020756 du 18 mars 2016</w:t>
      </w:r>
    </w:p>
    <w:p>
      <w:r>
        <w:t>IT: VD_GERICHTE ZD15.020756 del 18 marzo 2016</w:t>
      </w:r>
    </w:p>
    <w:p>
      <w:pPr>
        <w:pStyle w:val="Heading2"/>
      </w:pPr>
      <w:r>
        <w:t>Erwägungen</w:t>
      </w:r>
    </w:p>
    <w:p>
      <w:r>
        <w:rPr>
          <w:b/>
        </w:rPr>
        <w:t>E. 31</w:t>
      </w:r>
    </w:p>
    <w:p>
      <w:r>
        <w:t>mars 2001 par 8'817 fr., soit 61'692 francs. Par ailleurs, les montants versés par d’autres assureurs ou organismes à titre d’avances étaient compensés sur le solde dû à l’assuré. Selon un décompte du même jour établi séparément et annexé à cette décision, le montant à verser à l’assureur-accidents s’élevait à 11'947 fr. 40, à 29'101 fr. 60 en faveur de la Caisse de pension I.________, à 12'731 fr. en faveur de l’Etablissement vaudois d’accueil des migrants et à 7'912 fr. en faveur du Centre social</w:t>
      </w:r>
    </w:p>
    <w:p>
      <w:r>
        <w:t>- 5 - régional [...], le tout sous déduction de l’impôt à la source par 6'169 fr., soit au total 61'692 francs. B. Par acte du 21 mai 2015, M.________ a saisi la Cour de céans d’un recours contre cette décision. Il conclut à son annulation en ce sens que l’office AI est condamné à lui verser la somme de 29'101 fr. 60 avec intérêt à 5% l’an dès le 1er avril 2011. Le recourant soutient en premier lieu qu’en ne complétant pas la première partie du formulaire de compensation dans laquelle doit être indiquée la base de la compensation, la Caisse de pension I.________ ne saurait prétendre au remboursement des prestations versées, le bien-fondé matériel de sa créance n’étant pas établi. Il rappelle ensuite que le gain dont on peut présumer qu’il est privé a été fixé par l’intimé dans sa décision du 26 juin 2014 à 54'262 fr. 20, auquel il convient d’ajouter 230 fr. d’allocations familiales mensuelles pour ses deux enfants, soit 5'520 fr. par an. Le gain présumé perdu s’élèverait ainsi à 59'782 fr. 20. Il s’ensuit que la limite de surindemnisation serait de 53'804 fr. correspondant au 90% de ce gain. Le recourant estime toutefois qu’on ne peut pas simplement retenir le revenu raisonnablement exigible déterminé par l’office AI mais qu’il convient plutôt d’examiner si ses circonstances personnelles lui permettent d’utiliser de manière effective sa capacité résiduelle de gain théoriquement exigible. Or, la Caisse de pension I.________ ne l’aurait pas entendu sur ce point. Il explique à cet égard être fortement limité dans ses mouvements et devoir rester en position assise, dans un environnement exempt de bruit et en s’abstenant de mouvements répétitifs de la tête ou du corps. Il ajoute qu’il est au bénéfice d’une admission provisoire, qu’il maîtrise mal le français et qu’il ne dispose d’aucune formation particulière. En outre, l’autorité intimée reconnaît dans sa décision du 26 juin 2014 qu’une mesure de réadaptation n’est pas envisageable. Dès lors, les revenus à prendre en considération se limitent, de l’avis du recourant, à la rente servie par l’assureur- accidents (33'085 fr. par an) et à celle de l’office AI (7'356 fr. par an), soit 40'441 francs. La limite de surindemnisation s’élevant à 53'804 fr. n’est dès lors pas atteinte, même avec le versement de la rente du deuxième pilier par 5'499 fr. 80. Le recourant considère donc que c’est à tort que la Caisse de pension I.________ a réclamé la compensation de ses prestations</w:t>
      </w:r>
    </w:p>
    <w:p>
      <w:r>
        <w:t>- 6 - avec les arriérés de rente AI sur la base d’une prétendue surindemnisation. La partie des arriérés de rente AI compensée avec les prestations de la Caisse de pension I.________ doit par conséquent lui être restituée à hauteur de 29'101 fr. 60 avec intérêts moratoires. Invoquant enfin la précarité de sa situation matérielle, le recourant sollicite l’octroi de l’assistance judiciaire pour la présente procédure. Par décision du 22 mai 2015, le magistrat instructeur a accordé au recourant le bénéfice de l’assistance judiciaire avec effet au 21 mai 2015. Celui-ci comprenait l’exonération d’avances et de frais judiciaires ainsi que la désignation d’un avocat d’office en la personne de Me Alain Ribordy. Le recourant était en outre exonéré du paiement de toute franchise mensuelle. Dans sa réponse du 6 août 2015, l’office AI relève que le sort de la cause dépend de l’issue du recours interjeté devant la Cour de céans contre la décision du 26 juin 2014, de sorte qu’il propose la suspension de la procédure jusqu’à droit connu sur cette affaire. Invitée à préciser ses conclusions, l’autorité intimée a confirmé en date du 27 août 2015 qu’elle entendait effectivement demander la suspension judiciaire de la présente cause. Se déterminant par lettre du 3 septembre 2015, le recourant souligne que le sort de la présente procédure ne dépend pas de son droit à une rente entière de l’assurance-invalidité (auquel il prétend dans le cadre de la procédure enregistrée sous la référence AI 156/14). Si ce droit est reconnu, l’office AI devra rendre une nouvelle décision au sujet des arriérés supplémentaires dus en raison de l’augmentation de la demi-rente à une rente entière. Il rappelle qu’il s’agit en l’occurrence uniquement de savoir si les arriérés de la demi-rente peuvent être versés à la Caisse de pension I.________. Dans la mesure où le bien-fondé matériel de la créance en restitution de cette dernière fait défaut et que le calcul de surindemnisation devrait prendre en compte les circonstances</w:t>
      </w:r>
    </w:p>
    <w:p>
      <w:r>
        <w:t>- 7 - personnelles, elle ne saurait en tout état de cause prétendre aux arriérés de la demi-rente AI. En annexe à cette écriture, Me Ribordy a produit le relevé des opérations effectuées dans le cadre de la présente procédure du 21 mai au 3 septembre 2015, correspondant à 540 minutes au total (représentant 9 heures travaillées), soit un montant en sa faveur de 2'250 fr. au tarif horaire de 250 fr., débours par 59 fr. 60 en sus. Le total des honoraires réclamés s’élevait ainsi à 2'494 fr. 35, TVA au taux de 8% par 184 fr. 77 comprise. Le 12 février 2016, le magistrat instructeur a informé les parties que, sous réserve d’une appréciation divergente de la Cour, il apparaissait, après examen du dossier, que le présent litige était en état d’être jugé sans qu’il importait de connaître le sort de la cause AI 156/14.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w:t>
      </w:r>
    </w:p>
    <w:p>
      <w:r>
        <w:t>- 8 - cet égard la compétence de la Cour des assurances sociales du Tribunal cantonal (art. 93 let. a LPA-VD). c) Interjeté en temps utile (art. 60 al. 1 LPGA), le recours satisfait aux autres conditions de forme prévues par la loi (art. 61 let. b LPGA). d) La présente cause doit être tranchée par la cour composée de trois magistrats, compte tenu du montant de 29'101 fr. 60 avec intérêts moratoires à 5% l’an dès le 1er avril 2011 que le recourant réclame à l’intimé (cf. art. 94 al. 1 let. a LPA-VD a contrario et 94 al. 4 LPA- VD ; voir aussi art. 83c al. 1 LOJV [loi cantonale vaudoise du 12 décembre 1979 d’organisation judiciaire ; RSV 173.01]). 2. En l’espèce, est litigieuse la question de savoir si l’office AI était fondé à déduire le montant de 29'101 fr. 60 des paiements de rente rétroactifs dus à l’assuré pour la période du 1er janvier 2000 au 30 juin 2014 à titre de compensation en faveur de la Caisse de pension I.________.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du 17 janvier 1961 sur l’assurance-invalidité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w:t>
      </w:r>
    </w:p>
    <w:p>
      <w:r>
        <w:t>- 9 -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w:t>
      </w:r>
    </w:p>
    <w:p>
      <w:r>
        <w:t>- 10 -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4. Dans la décision dont est recours, l’office AI a fixé le montant de la rente due pour la période courant du 1er janvier 2000 au 30 juin 2014 (rétroactif) et déduit, selon décompte du même jour faisant partie intégrante de dite décision, différents montants à titre de compensation, notamment en faveur de la Caisse de pension I.________ à hauteur de 29'101 fr. 60. Le recourant conteste l’existence même de la surindemnisation fondant la demande de compensation.</w:t>
      </w:r>
    </w:p>
    <w:p>
      <w:r>
        <w:t>- 11 - Selon la jurisprudence,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TF 4A_24/2012 du 30 mai 2012, non publié in ATF 138 III 411; TFA I 296/03 du 21 octobre 2004 consid. 4.2). Selon la jurisprudence (TF 8C_115/2013 du 30 septembre 2013 consid. 5.2 et TFA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[loi fédérale du 18 mars 1994 sur l’assurance-maladie ; RS 832.10]) ou sur le droit privé (loi fédérale du 2 avril 1908 sur le contrat d’assurance ; RS 221.229.1 [LCA]). Est seul déterminant que l'assuré dispose d'une voie de droit directe à l'encontre de l'assureur pour contester le bien-fondé et le montant de la prétention en restitution. Le fait qu'il s'agisse d'une question de surindemnisation (ou de surassurance) et qu'il existe donc une certaine proximité avec une contestation du droit des assurances sociales ne suffit pas à soumettre le litige à la procédure de recours applicable en droit de l'assurance-invalidité (TF 9C_287/2014 du 16 juin 2014 consid. 2.2). Cette jurisprudence s’applique manifestement aussi s’agissant d’une surindemnisation invoquée par l’institution de prévoyance professionnelle.</w:t>
      </w:r>
    </w:p>
    <w:p>
      <w:r>
        <w:t>- 12 - Sur le vu de ce qui précède, on ne peut que constater que la Cour de céans doit décliner sa compétence pour trancher le présent litige. Il s’ensuit que le recours doit être déclaré irrecevable et la cause rayée du rôle. 5. a) Par décision du 22 mai 2015, le recourant a été mis au bénéfice de l’assistance judiciaire à compter du 21 mai 2015 et a obtenu à ce titre l’exonération du paiement d’avances et de frais judiciaires ainsi que la commission d’un avocat d’office en la personne de Me Alain Ribordy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3 septembre 2015, Me Ribordy a produit le relevé des opérations effectuées dans le cadre de la procédure du 21 mai 2015 au 3 septembre 2015, représentant un total de 540 minutes, soit 9 heures. Son activité a été contrôlée au regard de la conduite du procès et rentre globalement dans le cadre de l’accomplissement du mandat confié, de sorte qu’elle doit être arrêtée à 9 heures au tarif horaire de 180 fr. pour un avocat breveté (art. 2 al. 1 let. a RAJ). Quant aux débours, ils s’élevaient à 59 fr. 60. Ainsi, Me Ribordy a droit à un montant de 1'813 fr. 95, débours et TVA au taux de 8% compris, pour l’ensemble de l’activité déployée dans le cadre de la présente procédure.</w:t>
      </w:r>
    </w:p>
    <w:p>
      <w:r>
        <w:t>- 13 -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6. a)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Quoique l’intimé obtienne gain de cause, il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