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ZD15.018019 vom 15. Mai 2017</w:t>
      </w:r>
    </w:p>
    <w:p>
      <w:r>
        <w:t>VD Tribunal cantonal, 2017-05-15, FR</w:t>
      </w:r>
    </w:p>
    <w:p>
      <w:r>
        <w:rPr>
          <w:b/>
        </w:rPr>
        <w:t xml:space="preserve">Quelle: </w:t>
      </w:r>
      <w:r>
        <w:t>https://mcp.opencaselaw.ch/entscheid/vd_gerichte_ZD15.018019</w:t>
      </w:r>
    </w:p>
    <w:p>
      <w:r>
        <w:t>FR: VD_GERICHTE ZD15.018019 du 15 mai 2017</w:t>
      </w:r>
    </w:p>
    <w:p>
      <w:r>
        <w:t>IT: VD_GERICHTE ZD15.018019 del 15 maggio 2017</w:t>
      </w:r>
    </w:p>
    <w:p>
      <w:pPr>
        <w:pStyle w:val="Heading2"/>
      </w:pPr>
      <w:r>
        <w:t>Erwägungen</w:t>
      </w:r>
    </w:p>
    <w:p>
      <w:r>
        <w:rPr>
          <w:b/>
        </w:rPr>
        <w:t>E. 8</w:t>
      </w:r>
    </w:p>
    <w:p>
      <w:r>
        <w:t>La décision rectificative du 19 mars 2015 se limite à poser le caractère potentiellement indu des prestations et ne constitue pas une véritable décision de restitution, faute notamment de motivation sur la question de la reconsidération ou de l’effet rétroactif. En outre, dès lors que le caractère indu est contesté, il est prématuré d’examiner le principe de la restitution laquelle ne se justifierait qu’une fois exécutoire le présent jugement sur le droit aux prestations. Sur ce point, il convient dès lors de renvoyer la cause à l’intimé afin qu’il statue ultérieurement par décision séparée. Dans ce contexte, la question d’une remise éventuelle de l’obligation de restituer, subordonnée à la bonne foi et à la situation financière difficile de celui qui en fait la demande, devra faire l’objet – cas échéant – d’une procédure subséquente. En effet, dans la mesure où la demande ne peut être traitée sur le fond que si la décision de restitution est entrée en force, la remise et son étendue font l’objet d’une procédure distincte (cf. art. 4 al. 2 OPGA [ordonnance fédérale du 11 septembre 2002 sur la partie générale du droit des assurances sociales ; RS 830.11]). La décision qui sera rendue sur la demande de remise pourra le cas échéant faire l’objet d’un recours. Les arguments du recourant relatifs à sa bonne</w:t>
      </w:r>
    </w:p>
    <w:p>
      <w:r>
        <w:t>- 25 - foi ainsi qu’à la situation financière dans laquelle il dit se trouver ne peuvent dès lors être examinés dans la présente cause.</w:t>
      </w:r>
    </w:p>
    <w:p>
      <w:r>
        <w:rPr>
          <w:b/>
        </w:rPr>
        <w:t>E. 9</w:t>
      </w:r>
    </w:p>
    <w:p>
      <w:r>
        <w:t>a) Compte tenu de ce qui précède, il convient de rejeter le recours en tant qu’il porte sur la décision rectificative du 19 mars 2015 et de confirmer cette décision, étant précisé que la question de la restitution éventuelle de prestations devra faire l’objet d’une décision séparée.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c) En l’espèce, compte tenu de l’ampleur de la procédure, les frais de justice doivent être arrêtés à 400 fr. et mis à la charge du recourant, qui succombe (art. 49 al. 1 LPA-VD, applicable par renvoi des art. 91 et 99 LPA-VD). Enfin, le recourant n’obtenant pas gain de cause, il ne peut pas prétendre à l’allocation de dépens en sa faveur (art. 61 let. g LPGA ; art. 55 al. 1 LPA-VD, applicable par renvoi des art. 91 et 99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