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ZD15.018000 vom 22. Januar 2016</w:t>
      </w:r>
    </w:p>
    <w:p>
      <w:r>
        <w:t>VD Tribunal cantonal, 2016-01-22, FR</w:t>
      </w:r>
    </w:p>
    <w:p>
      <w:r>
        <w:rPr>
          <w:b/>
        </w:rPr>
        <w:t xml:space="preserve">Quelle: </w:t>
      </w:r>
      <w:r>
        <w:t>https://mcp.opencaselaw.ch/entscheid/vd_gerichte_ZD15.018000</w:t>
      </w:r>
    </w:p>
    <w:p>
      <w:r>
        <w:t>FR: VD_GERICHTE ZD15.018000 du 22 janvier 2016</w:t>
      </w:r>
    </w:p>
    <w:p>
      <w:r>
        <w:t>IT: VD_GERICHTE ZD15.018000 del 22 gennaio 2016</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 invalidité; RS 831.20]). Les décisions sur opposition et celles contre</w:t>
      </w:r>
    </w:p>
    <w:p>
      <w:r>
        <w:t>- 10 - lesquelles la voie de l'opposition n'est pas ouverte – ce qui est le cas des décisions en matière d'assurance-invalidité (cf. art. 57a et 69 al. 1 let. a LAI) – sont sujettes à recours auprès du tribunal des assurances compétent (art. 56ss LPGA). Le recours doit être déposé dans les trente jours suivant la notification de la décision sujette à recours (art. 60 al. 1 LPGA). En l'espèce, le recours a été déposé en temps utile compte tenu des féries pascales (art. 38 al. 4 let. a et 60 al. 2 LPGA) devant le tribunal compétent. Il remplit les autres exigences légales de forme et est par conséquent recevable (art. 61 let. b LPGA).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b) Selon une jurisprudence constante, le juge des assurances sociales apprécie la légalité des décisions attaquées, en règle générale, d'après l'état de fait existant au moment de la clôture de la procédure administrative. Les faits survenus postérieurement, et qui ont modifié cette situation, doivent normalement faire l'objet d'une nouvelle décision administrative (ATF 131 V 242 consid. 2.1; 121 V 362 consid. 1b). c) Le litige porte en l'espèce sur le droit éventuel de l’assuré à une rente d'invalidité, en particulier sur l'évaluation de sa capacité de</w:t>
      </w:r>
    </w:p>
    <w:p>
      <w:r>
        <w:t>- 11 - travail compte tenu des faits intervenus jusqu’au 16 mars 2015, date à laquelle la décision attaquée a été rendue. Comme l’indique à juste titre l’OAI, il n’y a pas lieu de tenir compte dans le cadre du présent litige d’une éventuelle aggravation de l’état de santé du recourant postérieurement à la décision attaquée. Dans cette mesure, il n’y a pas lieu de tenir compte dans le cadre de la présente procédure du certificat médical du Dr L.________ du 22 mai 2015 faisant état d’une aggravation de l’état de santé du recourant qui serait intervenue en avril 2015. Pour le surplus, on relèvera que, de toute manière, ce certificat médical est des plus succincts puisqu’il n’expose pas, même de manière sommaire, en quoi l’état de santé du recourant se serait aggravé ni si et quelles limitations fonctionnelles nouvelles seraient à constater. Quoi qu’il en soit, il appartient cas échéant au recourant de présenter une nouvelle demande à l’OAI répondant aux exigences de l’art. 87 al. 3 RAI (règlement fédéral du 17 janvier 1961 sur l’assurance-invalidité ; RS 831.201) s’il entend faire valoir une aggravation de son état de santé postérieure à la décision attaquée.</w:t>
      </w:r>
    </w:p>
    <w:p>
      <w:r>
        <w:rPr>
          <w:b/>
        </w:rPr>
        <w:t>E. 3</w:t>
      </w:r>
    </w:p>
    <w:p>
      <w:r>
        <w:t>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w:t>
      </w:r>
    </w:p>
    <w:p>
      <w:r>
        <w:t>- 12 - rétablie, maintenue ou améliorée par des mesures de réadaptation raisonnablement exigibles, s’il a présenté une incapacité de travail d’au moins 40% en moyenne durant une année sans interruption notable et si au terme de cette année, il est invalide à 40% au moins (cf.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b)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cf. TF [Tribunal fédéral] 9C_519/2008 du 10 mars 2009 consid. 2.1 et les autres références citées). En outre, les renseignements fournis par les médecins constituent une base importante pour apprécier la question de savoir quelle activité peut encore être raisonnablement exigée de la part de la personne assurée (cf. ATF 125 V 256 consid. 4 ; 115 V 133 consid. 2 ; 114 V 310 consid. 3c et 105 V 156 consid. 1; cf. TF I 562/06 du 25 juillet 2007 consid. 2.1 et TFA [Tribunal fédéral des assurances] I 274/05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w:t>
      </w:r>
    </w:p>
    <w:p>
      <w:r>
        <w:t>- 13 -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125 V 351 consid. 3a; cf. TF 9C_1023/2008 du 30 juin 2009 consid. 2.1.1). Il n'existe pas, dans la procédure d'octroi ou de refus de prestations d'assurances sociales, de droit formel à une expertise menée par un médecin externe à l'assurance. Il convient toutefois d'ordonner une telle expertise si des doutes, même faibles, subsistent quant à la fiabilité et à la pertinence des constatations médicales effectuées à l'interne (ATF 135 V 465). Quant aux rapports établis par le médecin traitant de l'assuré, ils doivent être appréciés en tenant compte du fait que ce médecin peut être enclin, en cas de doute, à prendre parti pour son patient, en raison de la relation de confiance qu'ils ont nouée (cf. ATF 125 V 351 consid. 3b/cc et les références; cf. TF 9C_94/2014 du 2 avril 2014 consid. 4.1).</w:t>
      </w:r>
    </w:p>
    <w:p>
      <w:r>
        <w:rPr>
          <w:b/>
        </w:rPr>
        <w:t>E. 4</w:t>
      </w:r>
    </w:p>
    <w:p>
      <w:r>
        <w:t>En l’espèce, il est constant que le recourant souffre de lombo- sciatalgies en relation avec une radiculopathie L5 gauche déficitaire et un canal lombaire étroit en L3-L4, avec hernie discale paramédiane homolatérale. Le recourant ne met d’ailleurs pas en cause le diagnostic posé par les médecins de sorte qu’il y a lieu de s’y tenir. De manière sommaire, le recourant fait grief à l’OAI et en particulier aux expertises médicales sur lesquelles la décision attaquée se fonde de ne pas avoir suffisamment pris en compte ses douleurs. Il ressort au contraire des rapports médicaux que ceux-ci, conformément à la jurisprudence citée plus haut, ont pris en considération les plaintes du recourant, notamment s’agissant de ses douleurs au dos. Ainsi, le Dr Z.________ fait état de la « persistance de lombalgies à prédominance</w:t>
      </w:r>
    </w:p>
    <w:p>
      <w:r>
        <w:t>- 14 - gauche quotidiennes, diurnes et nocturnes, fluctuantes en intensité associées à une irradiation douloureuse au membre inférieur gauche selon un trajet touchant la fesse, la face latérale de la cuisse et du mollet pour se terminer sur le dos du pied gauche » (rapport d’expertise, p. 6), ainsi que des fréquents réveils nocturnes et des douleurs à la marche. Quant à lui, le Dr H.________ a pris en compte le fait que le recourant se plaignait « d’une parésie motrice relativement sévère des releveurs du pied, des orteils, de la jambe droite et du quadriceps » ainsi que de « douleurs lombaires avec des contractures paravertébrales lombaires à gauche » (rapport d’expertise, p. 18). Ce praticien note également que le sommeil est « parfois altéré par une récidive douloureuse nocturne, par exemple lors d’un retournement un peu brutal » (rapport d’expertise, p. 22). En outre, on relèvera que le Dr H.________ considère que la douleur est « plutôt au second plan, par rapport à la perte fonctionnelle sévère qui domine le tableau clinique » (p. 23). Comme l’a exposé à juste titre l’intimé, les deux spécialistes que sont le Dr Z.________ et le Dr H.________ étaient ainsi à même chacun dans leur domaine de fournir une explication exhaustive des pathologies du recourant et de leur impact sur la capacité de travail. On ne saurait donc considérer que les experts n’ont pas tenu compte des douleurs ressenties par le recourant. Il apparaît au contraire que chacun des experts a pris en compte les plaintes du recourant dans son appréciation médicale. Le recourant estime que les douleurs qu’il ressent l’empêchent d’avoir une capacité de travail y compris dans une activité adaptée. Toutefois, aucun de ces praticiens n’a estimé que le tableau clinique était de nature à réduire la capacité de travail du recourant ou son rendement dans une activité adaptée à ses limitations fonctionnelles. Au contraire, les deux médecins précités sont arrivés à la conclusion que le recourant disposait d’une pleine capacité de travail sans diminution de rendement dans une activité adaptée à ses limites fonctionnelles. Quant à l’attestation du Dr L.________ du 22 mai 2015 faisant état d’une incapacité de travail totale du recourant « pour tous types d’activités », elle ne paraît concerner que la période subséquente à la décision attaquée, ce qui la rend sans pertinence pour trancher le présent litige.</w:t>
      </w:r>
    </w:p>
    <w:p>
      <w:r>
        <w:t>- 15 - Pour le surplus, force est de constater que les conclusions du Dr Z.________ emportent la conviction dans la mesure où elles se fondent sur une expertise remplissant les conditions posées par la jurisprudence précitée. En outre, les conclusions de l’expert rhumatologue mis en œuvre par l’OAI se recoupent largement, en particulier sur la question de la capacité de travail dans une activité adaptée, avec celles de l’expert neurologue qui avait été mandaté par l’assureur perte de gain. Il n’existe pour le surplus aucune contradiction apparente entre les constatations médicales si bien qu’il convient d’accorder une pleine valeur probante à ces expertises. S’agissant de la détermination du taux d’invalidité, le recourant n’a pas contesté le calcul auquel l’intimé a procédé. Le revenu sans invalidité est fondé sur les données fournies par l’employeur. Quant au revenu avec invalidité, il a été arrêté sur la base de l’ESS 2010 (activités sans qualification dans le domaine de l’industrie légère), indexé en 2012, avec un abattement de 10%. On relèvera à toutes fins utiles que même un abattement de 25%, taux maximum admis par la jurisprudence (ATF 126 V 75 consid. 5b/cc), n’aurait pas été propre à ouvrir le droit à la rente (68’250 fr. ./. 46’815 fr. [62'420 fr. 02 ./. 25 %]) = 21'435 fr., soit un degré d'invalidité de 31,40%).</w:t>
      </w:r>
    </w:p>
    <w:p>
      <w:r>
        <w:rPr>
          <w:b/>
        </w:rPr>
        <w:t>E. 5</w:t>
      </w:r>
    </w:p>
    <w:p>
      <w:r>
        <w:t>Le dossier étant complet, permettant ainsi à la Cour de céans de statuer en pleine connaissance de cause, il n'y a pas lieu d'en compléter l'instruction en ordonnant une expertise, que celle-ci porte sur les douleurs ou soit à caractère neurologique et rhumatologique. La requête en ce sens du recourant doit ainsi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et 130 II 425 consid. 2; TF 9C_748/2013 du 10 février 2014 consid. 4.2.1). Par ailleurs, comme exposé, aucun document médical au dossier ne remet en doute</w:t>
      </w:r>
    </w:p>
    <w:p>
      <w:r>
        <w:t>- 16 - l'appréciation du Dr H.________ confirmée par celle du Dr Z.________, étant précisé qu’elles ont toutes deux pleine valeur probante (ATF 135 V 465).</w:t>
      </w:r>
    </w:p>
    <w:p>
      <w:r>
        <w:rPr>
          <w:b/>
        </w:rPr>
        <w:t>E. 6</w:t>
      </w:r>
    </w:p>
    <w:p>
      <w:r>
        <w:t>a) En conclusion, le recours doit être rejeté et la décision attaquée confirmée. b) La procédure est onéreuse; en principe, la partie dont les conclusions sont rejetées supporte les frais de procédure (cf.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bénéfice du paiement des frais judiciaires ; celle-ci est en effet tenue à remboursement dès qu’elle est en mesure de le faire (cf. art. 123 al. 1 CPC, applicable par renvoi de l’art. 18 al. 5 LPA-VD). Il incombe au Service juridique et législatif de fixer les modalités de remboursement (cf. art. 5 RAJ [règlement vaudois du 7 décembre 2010 sur l'assistance judiciaire en matière civile; RS 211.02.3]). En l'espèce, compte tenu de l'ampleur de la procédure, les frais de justice doivent être arrêtés à 400 fr. et devraient être mis à la charge du recourant, qui succombe (cf. art. 69 al. 1bis LAI ; art. 49 al. 1 LPA-VD). Toutefois, dès lors que le recourant est au bénéfice de l'assistance judiciaire, ces frais sont laissés provisoirement à la charge de l'Etat. Il n'y a pas lieu d'allouer de dépens, le recourant n'obtenant pas gain de cause (cf. art. 55 al. 1 LPA-VD ; cf. art. 61 let. g LPGA). Le recourant a en outre obtenu, au titre de l’assistance judiciaire, la commission d’office d’un avocat en la personne de Me François Pidoux (cf. art. 118 al. 1 let. c CPC, applicable par renvoi de l’art. 18 al. 5 LPA-VD). Il y a donc lieu, dans le présent arrêt, de fixer la rémunération de l’avocat d’office. Bien qu’invité à produire la liste</w:t>
      </w:r>
    </w:p>
    <w:p>
      <w:r>
        <w:t>- 17 - détaillée de ses opérations et de ses débours, Me Pidoux n’a pas procédé. Il convient par conséquent de fixer équitablement le défraiement qui lui est dû sur la base d’une estimation des opérations nécessaires pour la conduite du procès (art. 3 al. 2 RAJ, applicable par renvoi de l’art. 18 al. 5 LPA-VD). Au demeurant, l’avocat d’office a droit au remboursement de tous les débours qui s’inscrivent raisonnablement dans l’exécution de sa tâche (cf. ATF 122 I 1 consid. 3a). Il s’ensuit que l’indemnité d’office de Me François Pidoux, conseil d’office du recourant selon décision du 24 août 2015 du précédent magistrat instructeur, est arrêtée à 1'280 fr., débours par 100 fr. (art. 3 al. 3 RAJ, applicable par renvoi de l’art. 18 al. 5 LPA-VD) et TVA en sus, soit un montant total arrondi de 1'500 fr. pour l’ensemble de son activité déployée dans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