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ZD15.017304 vom 14. Dezember 2015</w:t>
      </w:r>
    </w:p>
    <w:p>
      <w:r>
        <w:t>VD Tribunal cantonal, 2015-12-14, FR</w:t>
      </w:r>
    </w:p>
    <w:p>
      <w:r>
        <w:rPr>
          <w:b/>
        </w:rPr>
        <w:t xml:space="preserve">Quelle: </w:t>
      </w:r>
      <w:r>
        <w:t>https://mcp.opencaselaw.ch/entscheid/vd_gerichte_ZD15.017304</w:t>
      </w:r>
    </w:p>
    <w:p>
      <w:r>
        <w:t>FR: VD_GERICHTE ZD15.017304 du 14 décembre 2015</w:t>
      </w:r>
    </w:p>
    <w:p>
      <w:r>
        <w:t>IT: VD_GERICHTE ZD15.017304 del 14 dicembre 2015</w:t>
      </w:r>
    </w:p>
    <w:p>
      <w:pPr>
        <w:pStyle w:val="Heading2"/>
      </w:pPr>
      <w:r>
        <w:t>Erwägungen</w:t>
      </w:r>
    </w:p>
    <w:p>
      <w:r>
        <w:rPr>
          <w:b/>
        </w:rPr>
        <w:t>E. 1</w:t>
      </w:r>
    </w:p>
    <w:p>
      <w:r>
        <w:t>a) Les dispositions de la LPGA (loi fédérale du 6 octobre 2000 sur la partie générale du droit des assurances sociales ; RS 830.1) s’appliquent à l’assurance-invalidité, sous réserve de dérogations</w:t>
      </w:r>
    </w:p>
    <w:p>
      <w:r>
        <w:t>- 16 - expresses prévues par la LAI (art. 1 al. 1 LAI [loi fédérale du 19 juin 1959 sur l'assurance-invalidité ; RS 831.20]). Les décisions sur opposition et celles contre lesquelles la voie de l'opposition n'est pas ouverte – ce qui est le cas des décisions des offices AI (art. 69 al. 1 let a LAI) – sont sujettes à recours auprès du tribunal des assurances du domicile de l’office concerné (art. 56 LPGA et art. 69 al. 1 let. a LAI). Le recours doit être déposé dans les trente jours suivant la notification de la décision sujette à recours (art. 60 LPGA). En l'espèce, formé en temps utile selon les formes prescrites par la loi (cf. art. 61 let. b LPGA notamment), le recours est recevable. Il y a donc lieu d'entrer en matière. b) la LPA-VD (loi cantonale vaudoise du 28 octobre 2008 sur la procédure administrative ; RSV 173.36) s'applique aux recours et contestations par voie d'action dans le domaine des assurances sociales (art. 2 al. 1 let. c LPA-VD). La Cour des assurances sociales du Tribunal cantonal est compétente pour statuer (art. 93 let. a LPA-VD).</w:t>
      </w:r>
    </w:p>
    <w:p>
      <w:r>
        <w:rPr>
          <w:b/>
        </w:rPr>
        <w:t>E. 2</w:t>
      </w:r>
    </w:p>
    <w:p>
      <w:r>
        <w:t>a) En tant qu'autorité de recours contre les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ATF 125 V 413 consid. 2c et ATF 110 V 48 consid. 4a). b) Le litige porte sur le point de savoir si la recourante a droit, compte tenu de son état de santé, à une rente entière d’invalidité dès le 1er mai 2013. En effet, l’intimé a octroyé dès cette date un quart de rente</w:t>
      </w:r>
    </w:p>
    <w:p>
      <w:r>
        <w:t>- 17 - en se fondant sur un examen clinique rhumatologique et psychiatrique réalisé par le SMR le 8 octobre 2014. Ces médecins ont admis que l'assurée disposait d’une capacité résiduelle de travail de 60% tant dans son activité habituelle d’opératrice de saisie que dans une activité adaptée à ses limitations fonctionnelles et qu’elle ne souffrait d’aucune pathologie psychiatrique. Cette appréciation est contestée par la recourante qui fait valoir qu’elle entre en contradiction avec l’avis de ses médecins traitants, en particulier ceux ressortant des rapports médicaux des 10, 14 et 24 avril 2015 rédigés respectivement par les Drs F.________, D.________ et P.________. Elle allègue que ces avis instillent un doute suffisant à l’encontre de l’examen clinique du SMR pour mettre en œuvre une expertise judiciaire pluridisciplinaire, ce à quoi elle conclut préalablement.</w:t>
      </w:r>
    </w:p>
    <w:p>
      <w:r>
        <w:rPr>
          <w:b/>
        </w:rPr>
        <w:t>E. 3</w:t>
      </w:r>
    </w:p>
    <w:p>
      <w:r>
        <w:t>a) Est réputée invalidité l'incapacité de gain totale ou partielle qui est présumée permanente ou de longue durée, résultant d'une infirmité congénitale, d'une maladie ou d'un accident (art. 8 al. 1 LPGA et</w:t>
      </w:r>
    </w:p>
    <w:p>
      <w:r>
        <w:rPr>
          <w:b/>
        </w:rPr>
        <w:t>E. 4</w:t>
      </w:r>
    </w:p>
    <w:p>
      <w:r>
        <w:t>a) En l’espèce, il convient d’admettre avec la recourante que les conclusions de l’examen clinique du SMR du 8 octobre 2014, plus particulièrement celles relatives au volet psychiatrique de ce rapport, divergent de celles des avis médicaux de ses médecins traitants, particulièrement ceux des 10, 14 et 24 avril 2015 à l’adresse de son conseil, établis postérieurement à la décision litigieuse. En effet, l’examen clinique psychiatrique effectué par le Dr C.________ ne lui a pas permis de mettre en évidence de pathologie psychiatrique ou de trouble de la personnalité, contrairement à l’avis exprimé par le Dr P.________ dans son rapport médical du 24 avril 2015 qui évoque quant à lui un trouble de la personnalité empêchant sa patiente d’exercer une activité lucrative. A ce stade, il faut relever que le rapport du médecin du SMR est plus étayé que celui du médecin traitant dans la mesure où il indique, notamment, les raisons qui le poussent à conclure à l’absence de diagnostic psychiatrique invalidant (anamnèse familiale vierge de tout antécédent psychiatrique, absence de signes pathologiques psychiatriques dans le cadre de l’anamnèse personnelle et psychosociale, capacité à faire face à des situations difficiles en montrant de bonnes ressources personnelles, absence de signes dépressifs et anxieux, psychotiques, absence de troubles de la personnalité, absence de documents établis par un spécialiste, prépondérance des plaintes somatiques). Au contraire, l’avis exprimé par le Dr P.________ (rapport médical du 24 avril 2015) reste vague sur le trouble de la personnalité (F60.8) dont souffrirait sa patiente et n’évoque pas non plus clairement les raisons ou les limitations qui empêcheraient l’exercice de toute activité lucrative. Le fait de ne pas se livrer facilement, de cacher ses problèmes et les garder pour soi ne</w:t>
      </w:r>
    </w:p>
    <w:p>
      <w:r>
        <w:t>- 21 - signifie pas encore que l’on ne soit pas en mesure de mettre en valeur une quelconque capacité de travail. Il existe néanmoins, au vu des circonstances, de grandes probabilités pour qu’un examen clinique unique ne suffise pas à se faire une idée précise de l’état de santé psychique de la recourante et de ses conséquences sur sa capacité de travail. D’autre part, force est de constater l’absence au dossier administratif de tout document émanant d’un médecin traitant, spécialiste en psychiatrie. Cela étant, le Dr D.________ et le Dr F.________ ont régulièrement évoqué une fatigue chronique (rapport médical du Dr D.________ du 30 novembre 2012), un état anxio-dépressif sévère (rapport médical du Dr F.________ du 8 décembre 2012), un problème psychologique en aggravation (rapport médical du Dr D.________ du 17 juillet 2013) ou plus récemment une mauvaise évaluation psychiatrique par le SMR (rapports du Dr D.________ du 14 avril 2015 et du Dr F.________ du 10 avril 2015) et ont indiqué que leur patiente était suivie au plan psychiatrique. Certes, ces deux médecins ne sont pas spécialisés en psychiatrie et leur avis ne saurait en conséquence revêtir la valeur probante nécessaire à remettre sérieusement en question les conclusions d’un psychiatre ceci même dans le cadre d’un examen clinique pratiqué par le SMR. Il n’en demeure pas moins qu’ils suivent la recourante depuis plusieurs années et que leur avis ne saurait être écarté sans autre examen. S’il est apparu également que le Centre de psychothérapie [...], interpellé par l’OAI, n’a jamais eu de dossier au nom de la recourante, bien que le Dr F.________ ait mentionné à plusieurs reprises que ce centre suivait l'assurée (cf. rapports de ce médecin du 8 décembre 2012 et du 17 juillet 2013), il est cependant constant que cette dernière, sous curatelle, consulte depuis près de 2 ans un médecin psychiatre à un rythme hebdomadaire non négligeable. Compte tenu des éléments au dossier, en particulier de la réponse du Dr D.________ au questionnaire de l’OAI du 17 juillet 2013 évoquant un problème psychiatrique en aggravation et indiquant entre parenthèses le nom du Dr P.________, il appartenait à l’intimé d'interpeller ce dernier médecin sur le suivi médical pratiqué. De</w:t>
      </w:r>
    </w:p>
    <w:p>
      <w:r>
        <w:t>- 22 - même, l'OAI devait obtenir les éventuels rapports médicaux figurant dans son dossier, ainsi que ceux qui pourraient avoir été établis par la consultation de psychiatrie de [...] cas échéant. L’OAI ne pouvait en effet se contenter de la réponse du Centre [...] sans poursuivre ses investigations plus avant et sans relancer l’assurée en lui indiquant les conséquences de l'absence de réponse à l'interpellation du 13 juillet 2013. D’ailleurs, cette omission peut vraisemblablement être mise en lien avec les difficultés qui ont conduit, quelques mois plus tard (en janvier 2014), à la mise sous curatelle de la recourante par la justice de paix du district de [...]. Les médecins du SMR, dans le cadre de leur examen clinique, ne se sont pas non plus adressés au psychiatre traitant pour confronter leurs conclusions, quand bien même ils étaient informés de son nom et de son intervention régulière. Il n’appartenait pas plus au Dr X.________, spécialiste en médecine du travail, de se prononcer sur le rapport médical du Dr P.________ du 24 avril 2015. Celui-ci devait être soumis au Dr C.________ du SMR, à tout le moins à un médecin spécialisé en psychiatrie, afin qu’il puisse déterminer s’il y avait lieu de mettre en oeuvre une expertise ou de modifier d’une quelconque manière les conclusions de l’examen clinique psychiatrique du 8 octobre 2014. b) Au plan somatique, les médecins du SMR ont pris en considération l’ensemble des rapports médicaux y compris d’imagerie médicale figurant au dossier. Ils ont également noté les plaintes de la recourante qui s’inscrivent, selon eux, dans le cadre de l’atteinte rhumatologique (l'examen neurologique étant strictement normal) et admis la limitation relative à l’épaule droite (rapport SMR du 8 octobre 2014 p. 10). Sous cet angle, leurs conclusions sont parfaitement conformes à celles des médecins traitants de la recourante et les limitations fonctionnelles relevées superposables. Seule l’évaluation de la capacité de travail résiduelle diffère, les médecins traitants de la recourante lui étant plus favorable vraisemblablement en raison de la</w:t>
      </w:r>
    </w:p>
    <w:p>
      <w:r>
        <w:t>- 23 - relation particulière qu’ils entretiennent avec elle. Quoiqu’il en soit, le Dr D.________ admet une capacité de travail résiduelle dans une activité adaptée qui n’est guère différente de celle retenue par les médecins du SMR, malgré le constat rhumatologique négatif qu’il dresse suite à son dernier contrôle (rapport médical du 14 avril 2015). Le Dr F.________, pour sa part, ne justifie l’incapacité de travail totale qu’il allègue que par les souffrances endurées par sa patiente omettant de fournir un quelconque argument médical objectif. L’évaluation faite par les Drs D.________ et F.________ de la capacité de travail résiduelle de la recourante ne constitue en réalité qu’une appréciation différente d’un état de fait donné en raison du sentiment d’empathie adopté par tout médecin traitant. Cependant, l’intimé a requis la production des documents médicaux d’analyse appuyant la position étayée par le Dr D.________ dans son rapport du 14 avril 2015. Dans la mesure où l’administration considère que certains documents font défaut, il lui appartiendra également de les requérir auprès du Dr D.________, lui permettant une appréciation complète de la situation.</w:t>
      </w:r>
    </w:p>
    <w:p>
      <w:r>
        <w:rPr>
          <w:b/>
        </w:rPr>
        <w:t>E. 5</w:t>
      </w:r>
    </w:p>
    <w:p>
      <w:r>
        <w:t>Compte tenu des carences dont souffre le dossier sur le plan psychiatrique, et des éléments contradictoires qui y figurent, il n’est pas possible de statuer en l’état, en toute connaissance de cause, sur les possibilités dont dispose réellement la recourante pour mettre en valeur une éventuelle capacité de travail résiduelle. a) Dans le domaine des assurances sociales notamment, la procédure est régie par le principe inquisitoire, selon lequel les faits pertinents de la cause doivent être constatés d'office par l'assureur, qui prend les mesures d'instruction nécessaires et recueille les renseignements dont il a besoin (cf. art. 43 al. 1 LPGA). Le devoir d'instruction s'étend jusqu'à ce que les faits nécessaires à l'examen des prétentions en cause soient suffisamment élucidés (TF 8C_364/2007 du 19</w:t>
      </w:r>
    </w:p>
    <w:p>
      <w:r>
        <w:t>- 24 - novembre 2007 consid. 3.2). Si elle estime que l'état de fait déterminant n'est pas suffisamment établi, ou qu'il existe des doutes sérieux quant à la valeur probante des éléments recueillis, l'administration doit mettre en œuvre les mesures nécessaires au complément de l'instruction (ATF 132 V 93 consid. 6.4). b) Lorsque le juge des assurances examine l'opportunité de renvoyer la cause à l'administration afin qu'elle procède à un complément d'instruction, son comportement ne doit être dicté que par la question de savoir si une instruction complémentaire (sur le plan médical) est nécessaire afin d'établir, au degré de la vraisemblance prépondérante, l'état de fait déterminant sur le plan juridique (TF U 571/06 du 29 mai 2007 consid. 4.2, in : SVR 2007 UV n° 33 p. 111 ; UELI KIESER, ATSG-Kommentar, 2ème éd., n° 12 et 17 ad art. 43 LPGA). Le juge cantonal qui estime que les faits ne sont pas suffisamment élucidés a en principe le choix entre deux solutions : soit renvoyer la cause à l'assureur pour complément d'instruction, soit procéder lui-même à une telle instruction complémentaire. Un renvoi à l'assureur, lorsqu'il a pour but d'établir l'état de fait, ne viole ni le principe de simplicité et de rapidité de la procédure, ni le principe inquisitoire (ATF 122 V 157 consid. 1d). Il en va cependant autrement quand un renvoi constitue en soi un déni de justice (par exemple, lorsque, en raison des circonstances, seule une expertise judiciaire ou une autre mesure probatoire serait propre à établir l'état de fait), ou si un renvoi apparaît disproportionné dans le cas particulier (TF 9C_162/2007 du 3 avril 2008 consid. 2.3). A l'inverse, le renvoi à l'assureur apparaît en général justifié si celui-ci a constaté les faits de façon sommaire, dans l'idée que le tribunal les éclaircirait comme il convient en cas de recours (DTA 2001 n° 22 p. 170, consid. 2). Un renvoi à l'administration est en principe possible lorsqu'il s'agit de trancher une question qui n'a jusqu'alors fait l'objet d'aucun éclaircissement, ou lorsqu'il s'agit d'obtenir une clarification, une précision ou un complément quant à l'avis des experts interpellés par</w:t>
      </w:r>
    </w:p>
    <w:p>
      <w:r>
        <w:t>- 25 - l'autorité administrative ; a contrario, une expertise judiciaire s'impose lorsque les données recueillies par l'administration en cours d'instruction ne revêtent pas une valeur probante suffisante sur des points décisifs (ATF 137 V 210 consid. 4.4.1.4 et 4.4.1.5). c) En l’espèce, la recourante a requis, par son conseil, la mise sur pied d’une expertise judiciaire pluridisciplinaire, faisant valoir que cette dernière se justifiait par le seul fait que les rapports médicaux de ses médecins traitants, postérieurs à la décision et produits dans le cadre de la présente procédure, laissaient planer un doute suffisant quant au bien- fondé de l’examen clinique réalisé par le SMR en octobre 2014. Il est cependant du devoir de l’administration d’instruire les faits pertinents de la cause. A ce stade, on ne saurait admettre qu’elle se contente d’un examen médical auprès du SMR, sans récolter les informations adéquates auprès des médecins traitants de l’assurée. Au contraire, il lui appartenait de compléter l’instruction de son dossier en requérant du psychiatre traitant toutes informations relatives au suivi psychiatrique de sa patiente, ses effets sur la santé de cette dernière et ses éventuelles conséquences sur sa capacité de travail. A plus forte raison encore que le nom de ce médecin lui était connu et qu’il existait de sérieux indices, compte tenu de la durée du traitement et la fréquence des séances, qu’un problème de santé psychique ayant des incidences sur la capacité de travail de la recourante existe. Les médecins du SMR ayant effectué l’examen clinique ne se sont de toute évidence pas prononcés en connaissance d’un dossier complet, puisque l’avis des médecins traitants faisait défaut. Le Dr C.________ en particulier aurait pu s’exprimer sur la position du Dr P.________ diamétralement opposée à la sienne. Enfin, l’absence de réponse à une requête de l’administration d’obtenir des documents médicaux quels qu’ils soient et la production en</w:t>
      </w:r>
    </w:p>
    <w:p>
      <w:r>
        <w:t>- 26 - cours de procédure judiciaire d’un document requis préalablement et qui ferait planer un doute quelconque ne saurait permettre à la recourante d’obtenir, par ce biais, une expertise judiciaire. Le renvoi à l’intimé se justifie dès lors en conformité à la jurisprudence fédérale susmentionnée. L’OAI devra en conséquence procéder à une instruction complémentaire de la situation psychiatrique de l’assurée en demandant au psychiatre traitant les renseignements utiles, les rapports médicaux en sa possession y compris ceux qui auraient pu lui être remis par la consultation psychiatrique de [...], afin de pouvoir procéder à une évaluation exhaustive de la situation et cas échéant, examiner la nécessité de mettre en oeuvre une expertise en conformité avec l’art 44 LPGA. Si l'OAI l'estime nécessaire, il conviendra également qu'il éclaircisse la situation au plan rhumatologique, par exemple en requérant auprès du Dr D.________ les documents mentionnés dans l'écriture de l'intimé au tribunal du 31 août 2015 (cf. aussi le rapport SMR du 11 août 2015, point B).</w:t>
      </w:r>
    </w:p>
    <w:p>
      <w:r>
        <w:rPr>
          <w:b/>
        </w:rPr>
        <w:t>E. 6</w:t>
      </w:r>
    </w:p>
    <w:p>
      <w:r>
        <w:t>Il résulte de ce qui précède que le recours, bien-fondé, doit être admis, la décision attaquée annulée et la cause renvoyée à l'OAI pour instruction complémentaire au sens de ce qui précède. a) En dérogation à l'art. 61 let. a LPGA, la procédure de recours en matière de contestations portant sur l'octroi ou le refus de prestations de l'AI devant le tribunal cantonal des assurances est soumise à des frais judiciaires (art. 69 al. 1bis LAI). En l'espèce, il convient d'arrêter les frais judiciaires à 400 fr. et de les mettre à charge de l'OAI, qui succombe (art. 49 al. 1 LPA-VD). b) Obtenant gain de cause, la recourante, assistée d'un mandataire professionnel, a droit à des dépens, fixés à 1'500 fr. vu</w:t>
      </w:r>
    </w:p>
    <w:p>
      <w:r>
        <w:t>- 27 - l'importance du litige (cf. art. 61 let. g LPGA et 55 al. 1 LPA-VD). La recourante est en outre au bénéfice de l'assistance judiciaire. L'indemnité de dépens précitée, mise à la charge d’une institution d’assurances sociales, est à même de couvrir la rémunération du conseil d'office, de sorte qu’il n’y a pas lieu de fixer précisément le montant de l’indemnité qui aurait dû lui être versée au titre de l'assistance judiciaire (art. 118 et 122 CPC [code de procédure civile du 19 décembre 2008 ; RS 272], par renvoi de l'art. 18 al. 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