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ZD15.016584 vom 4. April 2016</w:t>
      </w:r>
    </w:p>
    <w:p>
      <w:r>
        <w:t>VD Tribunal cantonal, 2016-04-04, FR</w:t>
      </w:r>
    </w:p>
    <w:p>
      <w:r>
        <w:rPr>
          <w:b/>
        </w:rPr>
        <w:t xml:space="preserve">Quelle: </w:t>
      </w:r>
      <w:r>
        <w:t>https://mcp.opencaselaw.ch/entscheid/vd_gerichte_ZD15.016584</w:t>
      </w:r>
    </w:p>
    <w:p>
      <w:r>
        <w:t>FR: VD_GERICHTE ZD15.016584 du 4 avril 2016</w:t>
      </w:r>
    </w:p>
    <w:p>
      <w:r>
        <w:t>IT: VD_GERICHTE ZD15.016584 del 4 aprile 2016</w:t>
      </w:r>
    </w:p>
    <w:p>
      <w:pPr>
        <w:pStyle w:val="Heading2"/>
      </w:pPr>
      <w:r>
        <w:t>Erwägungen</w:t>
      </w:r>
    </w:p>
    <w:p>
      <w:r>
        <w:rPr>
          <w:b/>
        </w:rPr>
        <w:t>E. 16</w:t>
      </w:r>
    </w:p>
    <w:p>
      <w:r>
        <w:t>octobre 2015, que dite jurisprudence ne serait pas applicable, faute de pouvoir nier toute cause organique à l’hypersomnie. Le recourante, pour sa part, soutient que l’hypersomnie l’affectant n’a pas d’origine connue, ce qui implique précisément l’application de la jurisprudence fédérale évoquée. Elle estime par ailleurs que cette affection remplit la totalité des critères dégagés par la récente jurisprudence du Tribunal fédéral relative aux troubles somatoformes douloureux. Cette hypersomnie est au demeurant accompagnée de troubles psychiques présents de longue date, dont l’impact aurait été manifestement sous-évalué par les experts du Centre K.________. Il s’agit à ce stade de rappeler les dispositions légales relatives à la notion d’invalidité, la jurisprudence rendue en matière de troubles psychiques et de trouble somatoformes douloureux, ainsi que les règles régissant l’appréciation des pièces médicales.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w:t>
      </w:r>
    </w:p>
    <w:p>
      <w:r>
        <w:t>- 22 -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w:t>
      </w:r>
    </w:p>
    <w:p>
      <w:r>
        <w:t>- 23 -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4. 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consid. 4), le syndrome de fatigue chronique ou de neurasthénie (TF I 70/07 du 14 avril 2008 consid. 4) ou encore l’hypersomnie non organique (ATF 137 V 64 consid. 4 ; TF 9C_625/2015 du 17 novembre 2015 consid. 4.2.4).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w:t>
      </w:r>
    </w:p>
    <w:p>
      <w:r>
        <w:t>- 24 - b)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des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(cf. art. 7 al. 2 LPGA).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w:t>
      </w:r>
    </w:p>
    <w:p>
      <w:r>
        <w:t>- 25 - Cette grille comprendra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sera également tenu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et référence citée). La grille d’évaluation de la capacité résiduelle de travail comprendra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w:t>
      </w:r>
    </w:p>
    <w:p>
      <w:r>
        <w:t>- 26 - considération. Dans ce contexte également, un comportement incohérent est un indice que la limitation invoquée serait due à d’autres raisons qu’à une atteinte à la santé assurée (ATF 141 V 281 consid. 4.4 et référence citée). 5.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w:t>
      </w:r>
    </w:p>
    <w:p>
      <w:r>
        <w:t>- 27 -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w:t>
      </w:r>
    </w:p>
    <w:p>
      <w:r>
        <w:t>- 28 - 6. a) En l’espèce, l’assurée a été examinée au sein du Centre K.________ sur les plans neurologique, psychique et de médecine interne, afin de déterminer si son état de santé s’était modifié depuis la décision initiale du 8 décembre 2011. Il n’est au demeurant pas contesté que la recourante n’a présenté aucune atteinte à la santé du registre de la médecine interne qui serait de nature à entraver sa capacité de travail. La prestation servie par la décision du 8 décembre 2011, soit une demi-rente d’invalidité, fondée sur un taux d’invalidité de 50%, a été accordée en raison du diagnostic de « trouble de la personnalité émotionnellement labile, type borderline, décompensée » que le Dr C.________ estimait incapacitant à 50% dès le 1er avril 2010 (cf. rapports médicaux de ce spécialiste des 26 juillet 2010 et 24 décembre 2010). Les consultations de la recourante auprès du Dr C.________ ont toutefois été interrompues dès fin 2011, la prise en charge ayant été assumée par le Dr H.________ dès le 6 juin 2012. Celui-ci a mis en place une psychothérapie cognitivo-comportementale et prescrit un traitement homéopathique succédant à un traitement à base de Fluoxétine. A l’issue du rapport du Dr H.________ du 3 septembre 2012, ont été posés les diagnostics de « personnalité émotionnellement labile, type borderline » existant depuis la fin de l’adolescence, soit un diagnostic identique à celui envisagé par le Dr C.________, ainsi que ceux incapacitants de « trouble dépressif récurrent, épisode actuel moyen » existant depuis plusieurs années et de « syndrome narcoleptique de type hypersomnie idiopathique ». Le Dr H.________ a également relevé une « agoraphobie avec trouble panique » sans influence sur la capacité de travail. Il a attesté d’une incapacité de travail totale depuis le 1er janvier 2012, en dépit d’une prise en charge débutée postérieurement en juin 2012, susceptible de durer encore une année dès septembre 2012. Quant au médecin généraliste traitant, le Dr B.________, il a de son côté envisagé une incapacité totale de travail depuis décembre 2011 en raison de l’ensemble des difficultés</w:t>
      </w:r>
    </w:p>
    <w:p>
      <w:r>
        <w:t>- 29 - rencontrées par sa patiente, à savoir du fait de ses problèmes de sommeil et de ses troubles psychiques. b) S’agissant de l’état de santé psychique de la recourante, force est de constater que les observations du Centre K.________, singulièrement du Dr M.________, ne vont pas à l’encontre des appréciations des Drs C.________ et H.________. On retrouve notamment le diagnostic de « personnalité émotionnellement labile de type borderline », l’expert M.________ ayant exposé de manière convaincante pour quelles raisons ce trouble n’était plus incapacitant. Il a notamment relaté les éléments attestant d’une évolution favorable et d’une amélioration notable de la situation (cf. rapport d’expertise du Centre K.________ du 10 janvier 2014, p. 15 in fine, ainsi que complément du 22 janvier 2015). Par ailleurs, l’expert du Centre K.________ n’a nullement remis en cause le diagnostic de « trouble dépressif récurrent » posé par le passé, se limitant à constater à la date de son examen la rémission de cette problématique, confirmée tant par ses investigations cliniques que par les éléments d’anamnèse communiqués par l’assurée. On notera d’ailleurs à cet égard que le Dr C.________ pronostiquait lui-même l’évolution favorable de l’état de santé psychique de l’assurée dans un intervalle de deux ans selon son rapport médical du 26 juillet 2010, ce que corroborait son rapport subséquent du 24 décembre 2010. Quant au Dr H.________, il a maintenu que sa patiente avait présenté une incapacité totale de travail entre septembre 2012 et septembre 2013, ainsi que la recourante l’a elle-même allégué, sans toutefois se prononcer sur l’évolution de ladite capacité au terme de cette période. Il s’est limité à réitérer une incapacité de travail complète du fait du trouble de la personnalité et du trouble dépressif, sans toutefois étayer ou objectiver son appréciation, celle-ci n’étant pas clairement fondée sur la réalisation des critères définis par la classification internationale des</w:t>
      </w:r>
    </w:p>
    <w:p>
      <w:r>
        <w:t>- 30 - maladies (CIM-10). Il ne s’est pas davantage exprimé quant aux incidences de l’hypersomnie idiopathique sur la capacité de travail de sa patiente. S’agissant de l’avis du Dr B.________, ce praticien procédant d’une estimation globale, il n’a pas fourni les caractéristiques psychiques qui justifieraient une incapacité de travail spécifique de ce registre. Au demeurant, le Centre K.________ s’est exprimé de manière circonstanciée et convaincante en date du 22 janvier 2015, par l’intermédiaire du Dr M.________, sur les griefs soulevés par le Dr H.________ à l’encontre du rapport d’expertise du 10 janvier 2014. A l’inverse du spécialiste traitant, le Dr M.________ a communiqué ses constats cliniques objectifs pour justifier l’absence d’incapacité de travail et de limitations fonctionnelles sur le plan psychique, ainsi que pour s’écarter du point de vue du médecin traitant. On ne voit pas de raison de mettre en doute les conclusions du Centre K.________ sous l’angle psychique, dans la mesure où les rapports des 10 janvier 2014 et 22 janvier 2015 apparaissent complets, fondés sur une analyse minutieuse de l’ensemble des pièces du dossier de l’assurée et des éléments pertinents de son anamnèse. Résultant d’investigations cliniques approfondies, ils sont en outre exempts de contradictions, de sorte que l’appréciation de la situation psychique de l’assurée, telle que communiquée par le Centre K.________, a lieu d’être suivie. c) Il n’en va en revanche pas de même du point de vue neurologique, où l’instruction doit être qualifiée en l’état de lacunaire, au vu des imprécisions afférentes au diagnostic d’une « hypersomnie idiopathique ». S’agissant des troubles du sommeil, la CIM-10 distingue spécifiquement les troubles du sommeil (G.47) – dont font partie les troubles du sommeil par somnolence excessive (hypersomnies ; G47.1) et</w:t>
      </w:r>
    </w:p>
    <w:p>
      <w:r>
        <w:t>- 31 - la narcolepsie (G47.4) – des troubles du sommeil non organiques (F51), ces derniers pouvant constituer des symptômes d’un trouble psychique ou physique. La CIM-10 précise dans ce cadre que l’hypersomnie non organique (F51.1) est « habituellement attribuable à un trouble mental ». In casu, la recourante présente un trouble du sommeil, diagnostiqué pour la première fois par le Dr F.________ en février 2011, lequel a mentionné un « léger syndrome narcoleptique de type hypersomnie idiopathique ». Le Dr H.________ a repris cette problématique la classifiant sous chiffre G47.4. Cette référence s’avère ambiguë dans la mesure où, si un trouble du sommeil appartenant à la classification englobée sous G47, soit à la narcolepsie, était confirmé, la jurisprudence relative aux troubles somatoformes douloureux, à laquelle il convient de se référer en cas d’hypersomnie non organique (F51.1), ne serait alors pas applicable. Certes, le syndrome mis en évidence auprès de l’assurée est systématiquement décrit comme étant « de type hypersomnie idiopathique » ou de cause inconnue, tandis que le Dr P.________ a expressément relaté « l’absence d’arguments pour une narcolepsie » (cf. rapport de ce spécialiste du 27 mai 2013). Ces éléments tendraient à corroborer une hypersomnie classée sous les troubles du sommeil non organiques (F51), ce qui, à l’inverse, impliquerait l’application de la jurisprudence fédérale concernant les troubles somatoformes douloureux. Cela étant, on ne dispose à ce stade d’aucune certitude quant à la pathologie effectivement présentée par l’assurée. Sur cet aspect, les experts du Centre K.________ se limitent à mentionner une « hypersomnie idiopathique d’importance modérée à moyenne, présente depuis 2010 » sans autre référence à la classification CIM-10. Quand bien même les experts du Centre K.________ se sont fondés sur les rapports du Dr P.________ des 27 mai 2013 et 22 août 2013, on ne peut – sans</w:t>
      </w:r>
    </w:p>
    <w:p>
      <w:r>
        <w:t>- 32 - précision chiffrée basée sur la CIM-10 – conclure définitivement à une « hypersomnie sans cause organique » à laquelle il conviendrait d’appliquer la jurisprudence afférente aux troubles somatoformes douloureux. On ajoutera que le Dr P.________ a observé des éléments inhabituels dans le cas de la recourante – à savoir la fragmentation importante du sommeil et la diminution de son efficacité – préconisant la répétition d’une polysomnographie dans le but de rechercher une autre pathologie du sommeil (cf. rapport du 27 mai 2013). Le Centre K.________ a pour sa part renoncé à un tel examen au vu des investigations récentes du Dr P.________ sans discuter plus avant les doutes évoqués par ce spécialiste. C’est le lieu enfin de mettre en exergue à titre superfétatoire la position contradictoire du SMR quant à l’applicabilité ou non de ladite jurisprudence, étant rappelé que ce service a tout d’abord considéré l’hypersomnie idiopathique affectant l’assurée comme non invalidante à l’aune des critères jurisprudentiels (cf. rapport du SMR du 6 février 2014), avant de nier la pertinence de ces critères in casu (cf. rapport du SMR du 16 octobre 2015). d) Au demeurant, même si le diagnostic d’une « hypersomnie non organique » devait être retenu en l’occurrence, il ne serait pas possible en l’état de procéder à l’examen des critères requis par le Tribunal fédéral dans sa récente jurisprudence sur les troubles somatoformes douloureux, les éléments pertinents pour une telle analyse n’étant pas développés à satisfaction dans le rapport d’expertise du Centre K.________. e) Indépendamment de ce qui précède, la valeur probante de ce document peut de toute façon être mise en doute au vu des incertitudes contenues en lien avec l’appréciation de la capacité de travail de l’assurée.</w:t>
      </w:r>
    </w:p>
    <w:p>
      <w:r>
        <w:t>- 33 - En page 15 de leur rapport d’expertise du 10 janvier 2014, les experts indiquent que ladite capacité de travail serait « d’au minimum 50% » depuis les manifestations de l’affection neurologique, cette évaluation étant opérée sans tenir compte de l’incapacité de travail prononcée pour des motifs psychiques. Cela étant, ils retiennent une capacité de travail « d’au moins 70% », avec diminution de rendement de 30%, dans « une activité sans position assise constante », soit une activité adaptée, ce qui correspondrait à une capacité de travail de l’ordre de 50%. Néanmoins, ils concluent en définitive à une « capacité de travail de 50% dans l’activité habituelle » et de « 70% dans une activité adaptée » sans plus retenir de diminution de rendement. Dans leurs réponses aux questions spécifiques de l’OAI, en page 18 du rapport d’expertise du 10 janvier 2014, l’appréciation de la capacité de travail opérée par les experts apparaît derechef peu claire, voire carrément contradictoire, en ce qu’ils relatent une capacité de 50% dans « l’activité habituelle d’employée de commerce », tout en indiquant une capacité de travail de 70% « dans l’activité exercée jusqu’alors », prenant en sus en compte une diminution de rendement de 30%. Vu ces éléments, il est en l’état impossible de se prononcer définitivement sur la capacité de travail dont est effectivement dotée la recourante, ainsi que sur le caractère incapacitant du trouble du sommeil qu’elle présente. 8. Etant donné les carences dont souffre le dossier de la cause sur le plan médical, on ne peut statuer sur une éventuelle amélioration de l’état de santé de l’assurée depuis la décision du 8 décembre 2011, un complément d’instruction devant incontestablement être mené à bien au préalable. a) Dans le domaine des assurances sociales notamment, la procédure est régie par le principe inquisitoire, selon lequel les faits pertinents de la cause doivent être constatés d'office par l'assureur, qui</w:t>
      </w:r>
    </w:p>
    <w:p>
      <w:r>
        <w:t>- 34 -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w:t>
      </w:r>
    </w:p>
    <w:p>
      <w:r>
        <w:t>- 35 -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ne fait pas de doute qu’il incombe à l’OAI de procéder à l’ensemble des mesures d’instruction permettant d’élucider la situation médicale de la recourante. Singulièrement, il lui appartient de procéder à un complément d’expertise en vue d’éclaircir la nature du trouble du sommeil – organique ou non – dont est affectée la recourante. Si ce complément devait démontrer le défaut de cause organique de l’hypersomnie idiopathique, il devrait encore contenir les éléments permettant de se déterminer eu égard à la jurisprudence fédérale relative aux troubles somatoformes douloureux contenues in ATF 141 V 281. Enfin, il s’agira de clarifier la capacité de travail effective de l’assurée compte tenu de son état de santé global, ainsi que de se prononcer sur l’évolution de cette capacité depuis la décision initiale d’octroi de rente du 8 décembre 2011. Ce n’est qu’à l’issue de ce complément d’expertise que pourra être déterminé si un motif de réexamen de la situation de l’assurée, qui serait survenu depuis cette dernière date, est ou non avéré en l’occurrence. 9. a) Il résulte de ce qui précède que le recours, bien fondé, doit être admis, la décision attaquée annulée et la cause renvoyée à l'OAI pour instruction complémentaire dans le sens des considérants.</w:t>
      </w:r>
    </w:p>
    <w:p>
      <w:r>
        <w:t>- 36 -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Obtenant gain de cause, le recourant, assisté d'un mandataire professionnel, a par ailleurs droit à des dépens, fixés in casu à 3'500 fr. (art. 61 let. g LPGA et 55 al. 1 LPA-VD).</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