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ZD15.010161 vom 14. Dezember 2015</w:t>
      </w:r>
    </w:p>
    <w:p>
      <w:r>
        <w:t>VD Tribunal cantonal, 2015-12-14, FR</w:t>
      </w:r>
    </w:p>
    <w:p>
      <w:r>
        <w:rPr>
          <w:b/>
        </w:rPr>
        <w:t xml:space="preserve">Quelle: </w:t>
      </w:r>
      <w:r>
        <w:t>https://mcp.opencaselaw.ch/entscheid/vd_gerichte_ZD15.010161</w:t>
      </w:r>
    </w:p>
    <w:p>
      <w:r>
        <w:t>FR: VD_GERICHTE ZD15.010161 du 14 décembre 2015</w:t>
      </w:r>
    </w:p>
    <w:p>
      <w:r>
        <w:t>IT: VD_GERICHTE ZD15.010161 del 14 dicembre 2015</w:t>
      </w:r>
    </w:p>
    <w:p>
      <w:pPr>
        <w:pStyle w:val="Heading2"/>
      </w:pPr>
      <w:r>
        <w:t>Erwägungen</w:t>
      </w:r>
    </w:p>
    <w:p>
      <w:r>
        <w:rPr>
          <w:b/>
        </w:rPr>
        <w:t>E. 5</w:t>
      </w:r>
    </w:p>
    <w:p>
      <w:r>
        <w:t>janvier 2015 adressé à qui de droit dont on extrait ce qui suit : « Par rapport [au projet de décision du 4 décembre 2014] qui stipule que</w:t>
      </w:r>
    </w:p>
    <w:p>
      <w:r>
        <w:t>- 10 - [l’assurée] a une capacité de travail et de gain de 40% dans ses activités professionnelles habituelles de femme de ménage et nettoyeuse et une capacité de travail exigible à 100% dans une activité adaptée à ses limitations fonctionnelles (pourrait faire ouvrière de fabrique), je me permets d’émettre mon désaccord face à cette décision et de soutenir la personne susmentionnée dans sa démarche de recours. Je ne pense pas que [l’assurée] puisse travailler à 100% dans une activité adaptée, comme il est suggéré dans le rapport, par exemple comme ouvrière de fabrique. A mon avis, ses limitations fonctionnelles sont trop importantes. En ce sens, je trouverais judicieux d’avoir un avis d’expert. Je continue d’établir des certificats d’incapacité de travail car [l’assurée] n’est pas capable de travailler dans son activité professionnelle actuelle ». Le 22 janvier 2015, le médecin du SMR a établi un nouvel avis médical constatant que la Dresse P.________ n’apportait pas d’élément nouveau et que son avis non circonstancié ne saurait être pris en considération. Le médecin du SMR exposait que son précédent avis reposait sur les constatations de la Dresse J.________, laquelle ne mentionnait pas d’évaluation de la capacité de travail. En outre, le médecin exposait avoir repris contact avec la Dresse J.________, laquelle notait une aggravation de l’état de santé de l’assurée sur le plan de la mobilité et plus particulièrement celle des articulations des genoux et cela en rapport avec des cals hypertrophiques. Il convenait donc de prendre en compte de nouvelles limitations fonctionnelles à savoir une activité essentiellement sédentaire en position assise avec la possibilité d’alterner les positions assise et debout si possible à la demande. Dans une telle activité adaptée, la Dresse J.________ pensait que la capacité de travail de l’assurée était de 60% pouvant être progressivement augmentée à 80%. Dans un courrier du 30 janvier 2015 adressé au médecin conseil de l’OAI, la Dresse J.________ indique ce qui suit : « D’un point de vue médical, à noter une aggravation de ses [celles de l’assurée ndr] capacités fonctionnelles avec une ankylose du genou gauche qui s’est aggravée sur l’année 2014 avec, aujourd’hui, une flexion limitée à 80°. Après des mois de douleurs, la patiente a été soulagée. Il s’agit donc</w:t>
      </w:r>
    </w:p>
    <w:p>
      <w:r>
        <w:t>- 11 - d’une aggravation mécanique, mais non douloureuse actuellement. La patiente est en incapacité de travail à 60% dans son métier de femme de ménage. Dans une activité de travail sédentaire, sans escalier, sans vibration, sans déplacement, en alternant les positions assise et debout, pour respecter ses contraintes mécaniques sur l’appareil locomoteur, en l’absence de port de charge avec les restrictions notées dans le 1er rapport de 2014, sa capacité de travail serait entre 60 et 80%. » Par décision du 12 février 2015, l’OAI a confirmé le refus des prestations. Il a considéré que l’assurée présentait une capacité de travail de 40% dans son activité professionnelle habituelle de femme de ménage. En outre, l’OAI a retenu une capacité de travail exigible entre 60% et 80% dès le 23 janvier 2014 dans une activité adaptée. Compte tenu de ces données, il arrivait toujours à la conclusion que le revenu d’invalide auquel l’assurée pouvait prétendre (29'261 fr.) était plus élevé que celui que l’assurée avait réalisé avant son atteinte à la santé (25'023 fr. 65). Dès lors, l’OAI a retenu à nouveau un taux d’invalidité de 15.56%, insuffisant pour donner droit à des prestations. Le 15 janvier 2015, l’assurée a adressé à l’OAI une demande d’allocation pour impotent qui ne fait pas l’objet du présent litige. D. Par acte du 13 mars 2015 de son conseil, la recourante a déféré la décision de l’OAI du 12 février 2015 à la Cour des assurances sociales du Tribunal cantonal. Elle conclut à l’annulation de la décision de l’OAI et au renvoi de la cause à l’intimé pour la mise en œuvre d’une expertise et d’un stage COPAI après quoi l’intimé se prononcera à nouveau sur les éventuelles mesures de réadaptation et sur la rente. En substance, la recourante fait valoir que les avis médicaux sur lesquels s’est fondé l’OAI sont incomplets et contradictoires. La Dresse J.________ n’aurait pas examiné la recourante dans le but d’établir sa capacité de travail puis aurait donné une fourchette imprécise (60-80%) ; elle ne se serait prononcée que sur les limitations fonctionnelles. Les avis du SMR seraient imprécis s’agissant de la capacité de travail et</w:t>
      </w:r>
    </w:p>
    <w:p>
      <w:r>
        <w:t>- 12 - contradictoires s’agissant des limitations fonctionnelles. Seules les conclusions de la Dresse P.________ seraient pertinentes. L’OAI aurait dû ordonner une expertise. Les limitations fonctionnelles retenues par l’OAI seraient incomplètes. L’activité jugée exigible d’ouvrière de fabrique recouvrirait des postes très différents et ne serait pas adaptée à l’état de santé de la recourante. Les mesures de réadaptation n’auraient jamais été sérieusement examinées. Il y aurait lieu d’examiner le rendement que peut avoir la recourante dans une activité adaptée par l’organisation d’un stage COPAI. L’intimé s’est déterminé le 22 juin 2015 sur le recours. Il indique s’être en particulier fondé sur les avis de la Dresse J.________ et relève que cette praticienne avait indiqué qu’une activité adaptée pouvait être débutée à un taux de 60%, lequel pourrait ensuite être augmenté à 80%. Il n’y aurait donc pas d’imprécision s’agissant du taux de capacité de travail. Quant au point de vue de la Dresse P.________, il n’amènerait aucun élément nouveau et serait moins pertinent que celui de la Dresse J.________ qui est au bénéfice d’une spécialisation en rhumatologie. Enfin, l’intimé précisait qu’il avait été jugé que la fonction d’ouvrière de fabrique était adaptée aux circonstances et qu’il appartenait à la recourante de mettre en valeur sa capacité de travail dans ce domaine. Par acte du 17 août 2015, la recourante s’est référée à son mémoire de recours. Cette détermination a été transmise à l’OAI pour information. Aucune mesure d’instruction complémentaire n’a été ordonnée. La Cour, composée de deux magistrats professionnels et d’un assesseur (art. 37 al. 1 ROTC [règlement organique du Tribunal cantonal du 13 novembre 2007 ; RSV 173.31.1]), a délibéré à huis clos. E n d r o i t :</w:t>
      </w:r>
    </w:p>
    <w:p>
      <w:r>
        <w:t>- 13 - 1. a) Les dispositions de la LPGA (loi fédérale du 6 octobre 2000 sur la partie générale du droit des assurances sociales ; RS 830.1) s’appliquent à l’Al, sous réserve de dérogations expresses (art. 1 al. 1 LAI [loi fédérale du 19 juin 1959 sur l’assurance invalidité ; RS 831.20]). Les décisions sur opposition et celles contre lesquelles la voie de l’opposition n’est pas ouverte – ce qui est le cas des décisions en matière d’assurance- invalidité (cf. art. 69 al. 1 let. a LAI) – sont sujettes à recours auprès du tribunal des assurances compétent (art. 56 al. 1 et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s’applique aux recours et contestations par voie d’action dans le domaine des assurances sociales (art. 2 al. 1 let. c LPA-VD). S’agissant du droit à une rente ou à d’autres prestations de l’assurance-invalidité dont la valeur litigieuse est susceptible de dépasser 30'000 fr.,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l’espèce est litigieuse la question du droit de l’assurée à des mesures pour une réadaptation professionnelle ainsi qu’à une rente.</w:t>
      </w:r>
    </w:p>
    <w:p>
      <w:r>
        <w:t>- 14 - 3.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rPr>
          <w:b/>
        </w:rPr>
        <w:t>E. 6</w:t>
      </w:r>
    </w:p>
    <w:p>
      <w:r>
        <w:t>En dérogation à l’art. 61 let. a LPGA, la procédure de recours en matière de contestations portant sur l’octroi ou le refus de prestations de l’assurance-invalidité devant le tribunal cantonal des assurances est soumise à des frais de justice (art. 69 al. 1bis LAI) ; le montant des frais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L’avance de frais effectuée par la recourante lui sera restituée. La recourante obtenant gain de cause avec l’assistance d’un mandataire professionnel, elle a droit à des dépens qu’il convient de fixer équitablement à 1'800 fr.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