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ZD15.008635 vom 9. September 2015</w:t>
      </w:r>
    </w:p>
    <w:p>
      <w:r>
        <w:t>VD Tribunal cantonal, 2015-09-09, FR</w:t>
      </w:r>
    </w:p>
    <w:p>
      <w:r>
        <w:rPr>
          <w:b/>
        </w:rPr>
        <w:t xml:space="preserve">Quelle: </w:t>
      </w:r>
      <w:r>
        <w:t>https://mcp.opencaselaw.ch/entscheid/vd_gerichte_ZD15.008635</w:t>
      </w:r>
    </w:p>
    <w:p>
      <w:r>
        <w:t>FR: VD_GERICHTE ZD15.008635 du 9 septembre 2015</w:t>
      </w:r>
    </w:p>
    <w:p>
      <w:r>
        <w:t>IT: VD_GERICHTE ZD15.008635 del 9 settembre 2015</w:t>
      </w:r>
    </w:p>
    <w:p>
      <w:pPr>
        <w:pStyle w:val="Heading2"/>
      </w:pPr>
      <w:r>
        <w:t>Erwägungen</w:t>
      </w:r>
    </w:p>
    <w:p>
      <w:r>
        <w:rPr>
          <w:b/>
        </w:rPr>
        <w:t>E. 23</w:t>
      </w:r>
    </w:p>
    <w:p>
      <w:r>
        <w:t>avril 2013, qu'à l'issue de l'instruction il l'avait informée, par communication du 25 septembre 2013, du maintien de sa rente entière, mais vu la contestation de la Fondation M.________, la demande de révision d'office était actuellement toujours ouverte. Il a exposé que c'était dans le cadre de cette audition qu'il estimait qu'une expertise était nécessaire afin de pouvoir se prononcer sur le droit à la rente.</w:t>
      </w:r>
    </w:p>
    <w:p>
      <w:r>
        <w:t>- 14 - Le 20 mars 2014, l'assurée a maintenu ses objections et proposé d'attendre le jugement que devait rendre la Cour des assurances sociales dans la cause l'opposant à la Fondation M.________. Le 21 août 2014, elle a produit ce jugement rendu le 12 juin 2014 dans lequel la Cour de céans a admis la demande en ce sens que la Fondation M.________ devait verser à l'assurée une rente d’invalidité entière dès le 1er mai 2009 avec intérêts à 5 % l’an dès le 11 février 2012. Ce jugement se fondait sur une documentation médicale, portant sur la période 2008 à 2012. La Cour a notamment considéré que la Dresse E.________, dans son rapport du 24 février 2009, avait posé le diagnostic d’hypersomnie idiopathique à temps de sommeil allongé (G47.12), soit un trouble intrinsèque du sommeil ou hypersomnie organique selon la CIM-10 (classification statistique internationale des maladies et des problèmes de santé connexes ; G47.1), diagnostic ayant été posé à la suite de nombreux tests effectués notamment à J.________, et que ce diagnostic devait être retenu au contraire de celui d’hypersomnie primaire (F51.1) posé par le Dr Y.________ et repris par la suite par le Dr G.________, ces praticiens n'étant pas spécialistes en neurologie ou en neuropsychologie et n’expliquant pas les motifs pour lesquels ils s’écartaient du diagnostic posé par la Dresse E.________, spécialiste de ce type de pathologies. Elle a en outre relevé que même s’il s’agissait d’une hypersomnie non organique (F51.1), l'arrêt du Tribunal fédéral rendu le 25 février 2011 – sur lequel se fondait l'institution de prévoyance pour soutenir que la jurisprudence relative au trouble somatoforme était applicable à cette pathologie – ne s'appliquait pas, étant nettement postérieur au projet de décision adressé par l'OAI aux parties le 16 novembre 2010 et à la communication de son prononcé à la caisse AVS le 26 novembre 2010. Ce jugement est entré en force. Le 16 septembre 2014, les Drs K.________ et G.________ ont établi un avis médical ainsi rédigé : « Date de la demande : 01.04.2013</w:t>
      </w:r>
    </w:p>
    <w:p>
      <w:r>
        <w:t>- 15 - Voir jugement TCA du 12.06.2014 ; rapport d'examen SMR du 24.09.2010 et avis SMR du 10.02.2014. Nous reprenons les éléments signalés dans le mandat du 05.09.2014 qui met en perspective ce dossier complexe : L'hypersomnie idiopathique à temps prolongé présentée par Madame V.________ n'est pas apparentée à une hypersomnie non organique, de ce fait ne nécessite pas l'instruction indiquée dans les TSD et syndromes apparentés. Pour cette révision d'office nous disposons des documents suivants : Le RM du Dr Y.________, psychiatre, du 18.06.2013 qui contient une description clinique succincte, la CT dans l'activité habituelle est de 20%, la CT dans une activité adaptée n'est pas évaluée. Le RM de la Dr A.________, neurologue, du 15.07.2013 retient une péjoration de l'état de santé de l'assurée mais essentiellement pour des raisons psychiatriques. Nous aurions apprécié une description plus détaillée des limitations fonctionnelles induites par le trouble de la vigilance ainsi que sa classification dans une échelle de sévérité.</w:t>
      </w:r>
    </w:p>
    <w:p>
      <w:r>
        <w:t>- 16 - Commentaire : Pour cette révision de rente, indépendamment des considérations jurisprudentielles, nous disposons de rapports médicaux qui ne permettent pas une vision claire de la situation médicale et assécurologique. Pour cette raison nous demandons une Expertise pluridisciplinaire : psychiatrique, neurologique axée sur le trouble du sommeil et une évaluation fonctionnelle qui puisse déterminer l'endurance » Par communication du 7 octobre 2014, remplaçant celle du 12 février 2014, l'OAI a informé l'assurée qu'afin de clarifier son droit aux prestations, il estimait nécessaire qu'elle se soumette à un examen médical approfondi (médecine interne, psychiatrie, neurologie axée sur le trouble du sommeil et une évaluation fonctionnelle) et que sans avis contraire écrit et motivé de sa part dans un délai de dix jours, il mandaterait un centre d'expertises médicales. Le 11 novembre 2014, l'assurée s'est opposée à l'expertise. Elle a notamment soutenu que vu le jugement rendu par la Cour des assurances sociales du Tribunal cantonal, de surcroît fondé sur des documents médicaux récents toujours d'actualité, une nouvelle expertise serait contraire à l'art. 44 LPGA (loi fédérale sur la partie générale du droit des assurances sociales) puisqu'elle ne serait d'aucune utilité, s'agissant d'élucider des faits qui sont déjà établis. Elle a en outre allégué qu'aucune modification sensible de son état de santé n'avait été observée. L'OAI a rendu le 30 janvier 2015 une décision incidente confirmant sa volonté de faire effectuer une expertise pluridisciplinaire notamment pour les motifs suivants : « Résultat de nos constatations Pour l'instruction de la révision du dossier de votre mandante, nous disposons d'un rapport médical de son psychiatre qui ne contient cependant qu'une description clinique succincte. Quant au rapport médical du neurologue, il retient certes une péjoration de l'état de santé, mais pour des raisons psychiatriques ; il n'y a notamment pas de description détaillée des limitations fonctionnelles induites par le trouble de la vigilance ainsi que sa classification sur une échelle de</w:t>
      </w:r>
    </w:p>
    <w:p>
      <w:r>
        <w:t>- 17 - sévérité. Ces pièces ne nous permettant pas d'avoir une vision claire de la situation médicale et assécurologique de votre mandante, nous ne pouvons par conséquent pas nous déterminer sur l'évolution de son état de santé. La CASSO a certes admis que notre décision rendue le 7 mars 2011 n'apparaissait pas d'emblée insoutenable. Le jugement ne se prononce toutefois nullement sur la situation actuelle de votre mandante. En l'état du dossier, il ne nous donc est pas possible de nous prononcer sur la révision du dossier de Madame V.________. Dans ces conditions, la mesure d'instruction incontournable est une expertise pluridisciplinaire psychiatrique, neurologique axée sur le trouble du sommeil et une évaluation fonctionnelle qui puisse déterminer l'endurance et le cas échant une potentielle évolution de son état de santé. Nous prions, votre mandante, dans son propre intérêt, de se soumettre à la mesure d'instruction prévue. La date de l'examen sera fixée directement avec vous d'entente avec le centre, après l'entrée en force de cette décision. » D. V.________ a saisi la Cour des assurances sociales du Tribunal cantonal par acte du 4 mars 2015, concluant, avec dépens, à l'annulation de la décision du 30 janvier 2015. Elle soutient notamment que c'est à cause de l'intervention de la Fondation M.________ que l'OAI a décidé une expertise médicale pluridisciplinaire. Elle observe que plusieurs révisions ont eu lieu récemment qui maintiennent le droit à la rente pour une invalidité de 100 %, la dernière révision admettant même une aggravation tout en expliquant qu'une invalidité ne pouvait logiquement dépasser 100 %. Elle estime que la révision qui serait actuellement en cours « constitue une simple position » de l'OAI qui a cru devoir donner suite à une requête de l'institution de prévoyance laquelle veut manifestement « rattraper le tir » par rapport au jugement de la Cour des assurances sociales qui lui est défavorable. Elle estime qu'en conséquence, l'expertise pluridisciplinaire demandée ne peut avoir lieu dans ce cadre. Elle ajoute qu'elle est manifestement inutile vu l'aggravation de son état attestée par de nombreux certificats médicaux reconnus et admis par l'OAI. Elle produit un bordereau de pièces. Dans sa réponse du 1er avril 2015, l'OAI conclut au rejet du recours. Se fondant sur les avis du SMR auxquels il se rallie, il relève en</w:t>
      </w:r>
    </w:p>
    <w:p>
      <w:r>
        <w:t>- 18 - substance qu'il en résulte que les avis médicaux à disposition ne permettent pas d'appréhender clairement la situation médicale de la recourante. Par réplique du 6 mai 2015, la recourante maintient ses conclusions. Elle soutient notamment que l'OAI reconnaît au moins implicitement que la procédure de révision a été ouverte en avril 2013 et clôturée le 25 septembre 2013. Elle prétend que n'ayant pas demandé dans le délai de trente jours indiqué au pied de la décision de maintien du</w:t>
      </w:r>
    </w:p>
    <w:p>
      <w:r>
        <w:rPr>
          <w:b/>
        </w:rPr>
        <w:t>E. 25</w:t>
      </w:r>
    </w:p>
    <w:p>
      <w:r>
        <w:t>septembre 2013, l'OAI a adressé une communication selon laquelle le droit à la rente restait inchangé. En ce qui concerne la participation de l'institution de prévoyance dans la procédure de l’assurance-invalidité, un exemplaire du préavis est également communiqué aux assureurs des autres branches des assurances sociales, y compris à l’institution de prévoyance professionnelle selon la LPP, lorsque la décision touche l’obligation d’allouer des prestations de ces autres assureurs qui disposent des mêmes voies de droit que l’assuré (art. 49 al. 4 LPGA, en relation avec l’art. 73bis al. 2 RAI ; ch. 3014 CPAI [Circulaire de l’Office fédéral des assurances sociales sur la procédure de l’assurance-invalidité]). Les parties peuvent faire part à l’office AI de leurs observations sur le préavis dans un délai de trente jours, l'assuré par écrit ou oralement et les autres parties dont l'institution de prévoyance uniquement par écrit (art. 73ter RAI ; cf. Michel Valterio, Droit de l’assurance-vieillesse et survivants [AVS] et de l’assurance-invalidité [AI], commentaire thématique, Genève/Zurich/Bâle 2011, n. 2959 ss). L'institution de prévoyance est ainsi intégrée dans la procédure. On ne voit pas pour quel motif, lorsqu'une communication de l'OAI lui est transmise, qui touche son obligation de verser des prestations, l'institution de prévoyance n'aurait pas la possibilité de faire part de ses observations et de demander qu'une décision susceptible de recours soit rendue. c) Les rapports médicaux des Drs Y.________ et A.________ produits pendant la procédure de révision n'avaient pas été soumis au SMR. Compte tenu des observations de l'institution de prévoyance, l'OAI, avant de rendre une décision formelle, a complété l'instruction en soumettant ces rapports médicaux à son service médical. Les Drs K.________ et G.________, après avoir pris connaissance du dossier et du</w:t>
      </w:r>
    </w:p>
    <w:p>
      <w:r>
        <w:t>- 22 - jugement rendu par la Cour des assurances sociales du Tribunal cantonal dans la cause opposant la recourante à son institution de prévoyance, ont estimé une expertise pluridisciplinaire nécessaire. C'est la raison pour laquelle l'OAI a décidé d'ordonner une telle expertise avant de rendre une décision mettant un terme à la révision en cours. Il s'agit donc bien, comme le soutient l'OAI, de la même procédure de révision. Dans leur avis du 16 septembre 2014, les Drs K.________ et G.________ relèvent que le rapport du Dr Y.________ du 18 juin 2013 contenait une description clinique succincte et que la capacité de travail dans une activité adaptée n'était pas évaluée. Quant au rapport du 15 juillet 2013 de la Dresse A.________, ils observent qu'il faudrait une description plus détaillée des limitations fonctionnelles induites par le trouble de la vigilance ainsi que sa classification dans une échelle de sévérité. Ils en concluent que pour cette révision de rente, ils ne disposent pas de rapports médicaux permettant une vision claire de la situation médicale et assécurologique, raison pour laquelle ils demandent une expertise pluridisciplinaire, soit psychiatrique, neurologique axée sur le trouble du sommeil et une évaluations fonctionnelle qui puisse déterminer l'endurance. Compte tenu de cet avis bien motivé, la décision de l'OAI d'ordonner l'expertise en cause n'apparaît pas critiquable. 3. En conséquence, le recours doit être rejeté et la décision attaquée maintenue. Il y a lieu de déroger au principe de la gratuité, la présente procédure incidente étant onéreuse dès lors qu’elle a trait à une contestation portant sur l’octroi ou le refus de prestations au sens de l’art. 69 al. 1 bis LAI (cf. ATF 133 V 441 ; TF 9C_905/2007 du 15 avril 2008, 9C_639/2011 du 30 août 2012, in SVR 2013 IV n° 2).</w:t>
      </w:r>
    </w:p>
    <w:p>
      <w:r>
        <w:t>- 23 - Ainsi, les frais, arrêtés à 200 fr., sont mis à la charge de la recourante déboutée, sans que celle-ci puisse prétendre à l’allocation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