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ZD15.007850 vom 5. Februar 2016</w:t>
      </w:r>
    </w:p>
    <w:p>
      <w:r>
        <w:t>VD Tribunal cantonal, 2016-02-05, FR</w:t>
      </w:r>
    </w:p>
    <w:p>
      <w:r>
        <w:rPr>
          <w:b/>
        </w:rPr>
        <w:t xml:space="preserve">Quelle: </w:t>
      </w:r>
      <w:r>
        <w:t>https://mcp.opencaselaw.ch/entscheid/vd_gerichte_ZD15.007850</w:t>
      </w:r>
    </w:p>
    <w:p>
      <w:r>
        <w:t>FR: VD_GERICHTE ZD15.007850 du 5 février 2016</w:t>
      </w:r>
    </w:p>
    <w:p>
      <w:r>
        <w:t>IT: VD_GERICHTE ZD15.007850 del 5 febbraio 2016</w:t>
      </w:r>
    </w:p>
    <w:p>
      <w:pPr>
        <w:pStyle w:val="Heading2"/>
      </w:pPr>
      <w:r>
        <w:t>Erwägungen</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L’art. 28 al. 2 LAI prévoit que le droit à la rente est échelonné, en ce sens que l’assuré a droit à un quart de rente de l’assurance-invalidité pour un taux d’invalidité de 40% au moins, à une demi-rente pour un taux d’invalidité de 50% au moins, à trois quarts de rente pour un taux d’invalidité de 60% au moins et à une rente entière pour un taux</w:t>
      </w:r>
    </w:p>
    <w:p>
      <w:r>
        <w:t>- 23 - d’invalidité de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w:t>
      </w:r>
    </w:p>
    <w:p>
      <w:r>
        <w:t>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w:t>
      </w:r>
    </w:p>
    <w:p>
      <w:r>
        <w:t>- 24 -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w:t>
      </w:r>
    </w:p>
    <w:p>
      <w:r>
        <w:t>- 25 -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w:t>
      </w:r>
    </w:p>
    <w:p>
      <w:r>
        <w:rPr>
          <w:b/>
        </w:rPr>
        <w:t>E. 5</w:t>
      </w:r>
    </w:p>
    <w:p>
      <w:r>
        <w:t>a) Sur le plan somatique, l’expert a retenu le 1er mai 2014 le diagnostic ayant une influence sur la capacité de travail de troubles cognitifs modérés (mémoire, attention) séquellaires d’un AVC thalamique gauche, par ailleurs responsable d’un discret hémisyndrome sensitivomoteur séquellaire à l’hémicorps droit. Dans un travail adapté à la diminution de la mobilité du recourant en tant que garçon de café et serveur de même qu’à celle de la mobilité fine de sa main droite – comme l’est d’ailleurs l’activité de gestionnaire d’établissement (au guichet d’entrée de la discothèque et à la direction des collaborateurs) –, il a estimé que la capacité de travail exigible nulle depuis l'accident du printemps 2012 s’était progressivement améliorée, le recourant ayant d’ailleurs repris son activité comme gérant à 30% dès le 2 juillet 2012 puis à 50% depuis le 1er février 2013. Selon le Dr X.________ l’incapacité de travail s’était ainsi progressivement amendée pour finalement permettre la reprise par l’assuré de son activité comme gestionnaire d’établissement public au taux de 75% au plus tard à l’automne 2013 et sans que des mesures de réadaptation professionnelle ne soient indiquées.</w:t>
      </w:r>
    </w:p>
    <w:p>
      <w:r>
        <w:t>- 26 - Ces conclusions ont été partagées par le Dr B.________ du SMR – suivi ensuite par l’intimé dans sa décision – qui les a faites siennes. Dans son rapport du 19 mai 2014, ce médecin retient une incapacité de travail du recourant à 100% en toutes activités dès le 18 mars 2012 puis finalement de 25% dès le 1er novembre 2013 (« automne 2013 ») et dans une activité adaptée telle celle de gérant exercée en l’occurrence. Le médecin du SMR n'a donc pas retenu une capacité de travail résiduelle différente de celle fixée par l’expert dans son rapport du 1er mai 2014. Il n'existe d’ailleurs aucun rapport médical motivé mettant en doute l'appréciation de l’expert. Dans ses rapports des 23 mai et 10 décembre 2012, le Dr P.________, neurologue, retient un diagnostic identique à celui posé par l’expert. Il dit ne pas avoir d’argument en faveur d’une péjoration sans proposer de mesures thérapeutiques spécifiques, la poursuite de la physiothérapie étant d’ailleurs inutile. Quant au Dr W.________, n’ayant été consulté qu’à une seule reprise par l’assuré, soit le 1er mai 2012, on ne peut pas valablement se fier à ses constatations pour l’appréciation de l’évolution de l’état de santé du recourant, notamment depuis l’automne 2013. Le 25 juin 2012, le Dr C.________ a pour sa part exclu toute participation oto-rhino-laryngologique dans les plaintes de l’assuré en lien avec des sensations d’instabilité à la marche dans la discothèque. Quant aux rapports et certificats médicaux du Dr F.________, il n’est pas possible de s’y référer valablement. Ces documents, outre le fait qu’ils émanent d’un médecin consulté par l’assuré et doivent déjà être admis avec réserve (cf. consid. 4b supra), ont un contenu trop laconique qui ne satisfait d’emblée pas aux réquisits jurisprudentiels pour se voir reconnaître valeur probante ; dans ses certificats des 14 octobre 2014, 23 janvier, 14 avril et 4 décembre 2015, le médecin traitant se borne à mentionner des périodes d’arrêt de travail sans en motiver les causes ni</w:t>
      </w:r>
    </w:p>
    <w:p>
      <w:r>
        <w:t>- 27 - indiquer si ces incapacités s’entendent dans l’activité habituelle de son patient ou dans des activités adaptées. Ce praticien a de plus indiqué dans ses rapports des 22 octobre 2012 et 2 avril 2013 un pronostic qu’il qualifiait de bon en mentionnant même la reprise progressive de l’activité de restaurateur au taux de 75% à la fin 2013. Le Dr F.________ a en outre confirmé ses pronostics dans un rapport du 2 mai 2013 rédigé pour l’assureur perte de gain R.________. Force est d’admettre en définitive que les conclusions des rapports et des certificats établis par le médecin traitant sont contradictoires entre elles. S’agissant des prises de rendez-vous de physiothérapie sur la période de la mi-février à la mi-avril 2015 auprès de la Clinique [...], non étayées, celles-ci ne font donc état d’aucun argument de nature à valablement rediscuter les constatations et conclusions du rapport d’expertise du 1er mai 2014. Quant aux conséquences du stress sur son état de santé dont se prévaut le recourant en lien avec la reprise d’une activité professionnelle au maximum de ses possibilités attestées par l’expert, force est de relever avec l’intimé que cela ne constitue pas une entrave à l’exercice d’un emploi adapté dès lors que l’intéressé respecte le traitement médicamenteux prescrit tendant à contrôler sa pression artérielle. b) Sur le plan psychiatrique et bien qu’il ne soit certes pas un spécialiste en la matière, le Dr X.________ a mentionné le 1er mai 2014 des éléments de la lignée anxio-dépressive (un état anxio-dépressif sous- jacent) susceptibles de contribuer aux troubles neuropsychologiques mis en évidence (léger parasitage du status neurologique par une composante fonctionnelle avec une probable aggravation des troubles cognitifs mnésiques-attentionnels séquellaires). Appelé à se prononcer sur l’appréciation de l’expert neurologue, le médecin du SMR a toutefois estimé le 19 mai 2014 que seule une amélioration de 10% de l’aptitude au travail étant mentionnée en cas de traitement des éléments anxio- dépressifs relevés, un tel traitement n’était pas exigible du recourant</w:t>
      </w:r>
    </w:p>
    <w:p>
      <w:r>
        <w:t>- 28 - compte tenu de sa faible marge « d’amélioration pronostiquée ». Selon le Dr B.________ une instruction auprès d’un spécialiste en la matière n’était par ailleurs pas justifiée. Cette analyse de la situation s’avère correcte dès lors que le recourant n’est en effet pas suivi sur ce plan. Il n’y a également aucun rapport ou certificat des médecins consultés posant un diagnostic psychiatrique et attestant d’une incapacité de travail due à des troubles de cet ordre. Partant, l’appréciation du médecin du SMR n’est aucunement mise en doute par quel qu’autres documents médicaux au dossier. De plus et contrairement à ce que semble en dire le recourant, même si l’aspect psychique sort de sa spécialisation, l’expert était apte à recueillir des éléments de cette nature et à indiquer le cas échéant, si la situation justifiait l’avis d’un médecin psychiatre. Cela ne dépassait pas le cadre de son mandat. En l’espèce, le Dr X.________ s’est d’ailleurs limité à mentionner l’éventualité d’un traitement de l’état anxio-dépressif sous- jacent chez l’expertisé sans poser de diagnostic sur le plan psychiatrique. c) En définitive, l’expertise du Dr X.________ comprend une anamnèse, fait état des plaintes du recourant, est exempte de contradictions et relève d'une étude approfondie du cas de celui-ci (examen de l’ensemble des pièces au dossier et examen clinique avec bilan cognitif détaillé). Ses conclusions, bien motivées, ne sont pas mises en doute par d'autres rapports médicaux. Elle a ainsi valeur probante. Force est dès lors de retenir une capacité de travail résiduelle du recourant dans une activité adaptée augmentée à 75% au plus tard depuis le 1er novembre 2013. L'état de santé du recourant s'est ainsi amélioré.</w:t>
      </w:r>
    </w:p>
    <w:p>
      <w:r>
        <w:rPr>
          <w:b/>
        </w:rPr>
        <w:t>E. 6</w:t>
      </w:r>
    </w:p>
    <w:p>
      <w:r>
        <w:t>Selon l'art. 16 LPGA, applicable par renvoi de l’art. 28a al. 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- 29 - Il s’agit donc de comparer deux revenus hypothétiques, soit le revenu hypothétique sans invalidité et le revenu hypothétique d’invalide. a) En l'espèce, dans la comparaison des revenus opérée par l’OAI, le recourant ne critique pas le calcul de son revenu sans atteinte à la santé, fixé à 75'928 fr. pour 2013. Il conteste en revanche la détermination du revenu hypothétique d’invalide raisonnablement exigible de sa part. b)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tel revenu, le revenu d'invalide peut être évalué sur les données salariales résultant des descriptions de postes de travail établies par la CNA ou, comme en l'espèce, sur la base de salaires fondés sur les données statistiques résultant de l'ESS (ATF 135 V 297 consid. 5.2 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1er avril 2005, consid. 4.2). On se réfère alors à la statistique des salaires bruts standardisés, en se fondant toujours sur la médiane ou valeur centrale (ATF 124 V 321 consid. 3b/bb; TF I 7/2006 du 12 janvier 2007, consid. 5.2; VSI 1999 p. 182).</w:t>
      </w:r>
    </w:p>
    <w:p>
      <w:r>
        <w:t>- 30 - bb) En l'occurrence, le salaire de référence de 62’856 fr. 96 retenu par l’intimé en tant que revenu d’invalide du recourant pour 2013 l’est sur la base des données de l’ESS, procédé que le recourant ne conteste pas en soi dès lors qu’il s’en prend uniquement au taux d’activité résiduel retenu de 75% ; il s’agit en effet du revenu auquel peuvent prétendre les hommes effectuant des activités simples et répétitives dans le secteur privé (production et services), soit en 2010, 4’901 fr. par mois, part au 13ème salaire comprise (Enquête suisse sur la structure des salaires 2010, TA 1; niveau de qualification 4). Comme les salaires bruts standardisés tiennent compte d'un horaire de travail de quarante heures, soit une durée hebdomadaire inférieure à la moyenne usuelle dans les entreprises en 2013 (41,7 heures; La Vie économique, 12-2014, p. 92, tableau B 9.2), le revenu mensuel s'élève à 5'109 fr. 29 (4’901 fr. x 41,7 / 40), ce qui donne un salaire annuel de 61’311 fr. 51, soit après adaptation de ce chiffre à l'évolution des salaires nominaux de 2010 à 2013 (+ 1.0% [2010 à 2011], + 0.8% [2011 à 2012] et + 0.7% [2012 à 2013]; La Vie économique, 12-2014, p. 93, tableau B 10.2), on obtient un revenu annuel de 62’856 fr. 96. Etant donné qu’il est raisonnablement exigible de l’assuré qu’il exerce une activité de substitution à 75%, le salaire hypothétique d’invalide 2013 se monte en définitive à 47’142 fr. 72. cc) Le montant résultant des données statistiques peut faire l'objet d'une réduction. L'OAI a procédé à un tel abattement de 10% dans la décision attaquée. Il a expliqué dans sa réponse que cette déduction tient compte des limitations fonctionnelles du recourant telles que mises en évidence par l’expertise ainsi que des facteurs que sont l’âge et le taux d’occupation de l’assuré. Le recourant estime cela injustifié. Il soutient en effet que compte tenu de ses années de service et des limitations liées au handicap la prise en compte d’un abattement de 20% devrait être admise en l’espèce sur les données statistiques de l’ESS.</w:t>
      </w:r>
    </w:p>
    <w:p>
      <w:r>
        <w:t>- 31 -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w:t>
      </w:r>
    </w:p>
    <w:p>
      <w:r>
        <w:t>- 32 - pertinent, sans toutefois substituer sa propre appréciation à celle de l'administration (ATF 137 V 71 consid. 5.2). dd) Selon l'expert, le recourant souffre d'un discret hémisyndrome sensitivomoteur limitant la mobilité comme garçon de café et serveur d'un établissement public, de même qu'entraînant la diminution de la mobilité fine de la main droite chez ce droitier et des troubles mnésiques et de l'attention. Les limitations fonctionnelles présentées par le recourant - somme toute peu importantes - ne présentent pas de spécificités telles qu'il y aurait lieu d'en tenir compte dans une mesure importante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lorsqu'il recouvre un large éventail des activités variées et non qualifiées, n'impliquant pas de formation particulière et compatibles avec des limitations fonctionnelles peu contraignantes (TF 9C_963/2008 du 27 mai 2009 consid. 3.5). Les considérations du recourant relatives à une expérience professionnelle ne sauraient être retenues à titre de critères déterminants dans la mesure où l'absence d'expérience dans certains domaines d'activités n'a que peu d'influence sur la rémunération perçue pour l'accomplissement de tâches simples et répétitives. Certes, le recourant était âgé de 56 ans lorsque l'expertise a été effectuée. Toutefois, compte tenu de l'ensemble des circonstances, on doit admettre qu'il en est tenu compte dans le taux d'abattement de 10%.</w:t>
      </w:r>
    </w:p>
    <w:p>
      <w:r>
        <w:t>- 33 - Le recourant n'a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mars 2009 consid. 4 et I 819/04 du 27 mai 2005 consid. 2.2 et les références). Il est encore éloigné du seuil à partir duquel le Tribunal fédéral reconnaît généralement que ce facteur devient déterminant et nécessite une approche particulière (TF 9C_652/2014 du 20 janvier 2015 consid. 4.2 et les références). En conclusion, le taux d'abattement de 10% retenu par l'intimé n'apparaît pas critiquable. c) Moyennant la prise en compte d’un abattement de 10%, le salaire avec invalidité s’élève en conséquence à 42'428 fr. 45 ([47’142 fr. 72 x 90] / 100), le taux d’invalidité du recourant étant dès lors de 44.12% ([{75'928 fr. – 42'428 fr. 45} / 75'928 fr.] x 100), arrondi à 44% (cf. ATF 130 V 121) ainsi que le retient à raison l’Office AI dans la décision querellée. C’est ainsi à tort que le recourant le conteste. Le droit à la demi-rente n'est ainsi plus ouvert au recourant, son taux d'invalidité de 44% lui donnant droit à un quart de rente dès le 1er février 2014, soit après trois mois à compter de l’amélioration de la capacité de gain datant du 1er novembre 2013 au plus tard (cf. consid. 2b et 3 supra).</w:t>
      </w:r>
    </w:p>
    <w:p>
      <w:r>
        <w:rPr>
          <w:b/>
        </w:rPr>
        <w:t>E. 7</w:t>
      </w:r>
    </w:p>
    <w:p>
      <w:r>
        <w:t>a) En définitive, le recours, mal fondé, doit être rejeté, ce qui entraîne la confirmation des décisions rendues le 27 janvier 2015 et qui reconnaissent au recourant le droit à une demi-rente dès le 1er mars 2013 puis à un quart de rente dès le 1er février 2014. b) En dérogation à l’art. 61 let. a LPGA, la procédure de recours en matière de contestations portant sur l’octroi ou le refus de prestations de l’AI devant le tribunal cantonal des assurances est soumise à des frais de justice (art. 69 al. 1bis LAI). Pour les affaires en matière</w:t>
      </w:r>
    </w:p>
    <w:p>
      <w:r>
        <w:t>- 34 - d’assurance-invalidité, l’émolument est compris entre 200 et 1'000 fr. (cf. art. 4 al. 2 TFJDA [Tarif du 28 avril 2015 des frais judiciaires et des dépens en matière administrative ; RSV 173.36.5.1]). En l’espèce, compte tenu de l’ampleur et de la difficulté de la cause, les frais de justice doivent être arrêtés à 400 fr. à la charge du recourant (art. 69 al. 1bis LAI ; art. 49 al. 1 LPA-VD), sans qu’il se justifie d’allouer des dépens dès lors que l’intéressé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